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619CB" w14:textId="77777777" w:rsidR="00C17C71" w:rsidRPr="00C17C71" w:rsidRDefault="00C17C71" w:rsidP="00C17C71">
      <w:pPr>
        <w:pStyle w:val="Titre1"/>
        <w:pBdr>
          <w:bottom w:val="single" w:sz="6" w:space="6" w:color="auto"/>
        </w:pBdr>
        <w:spacing w:before="120" w:after="240"/>
        <w:jc w:val="center"/>
        <w:rPr>
          <w:rFonts w:asciiTheme="minorHAnsi" w:hAnsiTheme="minorHAnsi" w:cstheme="minorHAnsi"/>
          <w:b w:val="0"/>
          <w:sz w:val="20"/>
          <w:szCs w:val="20"/>
          <w:u w:val="none"/>
        </w:rPr>
      </w:pPr>
      <w:r w:rsidRPr="00C17C71">
        <w:rPr>
          <w:rFonts w:asciiTheme="minorHAnsi" w:hAnsiTheme="minorHAnsi" w:cstheme="minorHAnsi"/>
          <w:i/>
          <w:sz w:val="20"/>
          <w:szCs w:val="20"/>
          <w:u w:val="none"/>
        </w:rPr>
        <w:t xml:space="preserve">TERRESTRIAL MANUAL </w:t>
      </w:r>
      <w:r w:rsidRPr="00C17C71">
        <w:rPr>
          <w:rFonts w:asciiTheme="minorHAnsi" w:hAnsiTheme="minorHAnsi" w:cstheme="minorHAnsi"/>
          <w:sz w:val="20"/>
          <w:szCs w:val="20"/>
          <w:u w:val="none"/>
        </w:rPr>
        <w:t>REVISION: ADVICE FOR MEMBER COUNTRY COMMENTS</w:t>
      </w:r>
    </w:p>
    <w:p w14:paraId="37986CCB" w14:textId="1BB570F4" w:rsidR="00C17C71" w:rsidRPr="00C17C71" w:rsidRDefault="00C17C71" w:rsidP="00C17C71">
      <w:pPr>
        <w:pStyle w:val="Corpsdetexte"/>
        <w:spacing w:after="240"/>
        <w:rPr>
          <w:rFonts w:asciiTheme="minorHAnsi" w:hAnsiTheme="minorHAnsi" w:cstheme="minorHAnsi"/>
          <w:sz w:val="20"/>
          <w:szCs w:val="20"/>
          <w:lang w:val="en-IE"/>
        </w:rPr>
      </w:pPr>
      <w:r w:rsidRPr="00C17C71">
        <w:rPr>
          <w:rFonts w:asciiTheme="minorHAnsi" w:hAnsiTheme="minorHAnsi" w:cstheme="minorHAnsi"/>
          <w:sz w:val="20"/>
          <w:szCs w:val="20"/>
          <w:lang w:val="en-IE"/>
        </w:rPr>
        <w:t xml:space="preserve">Chapter Number and Title: Chapter </w:t>
      </w:r>
      <w:r w:rsidRPr="00C17C71">
        <w:rPr>
          <w:rFonts w:asciiTheme="minorHAnsi" w:hAnsiTheme="minorHAnsi"/>
          <w:sz w:val="20"/>
          <w:szCs w:val="20"/>
        </w:rPr>
        <w:t>3.5.5. Equine encephalomyelitis</w:t>
      </w:r>
      <w:r w:rsidRPr="00C17C71">
        <w:rPr>
          <w:rFonts w:asciiTheme="minorHAnsi" w:hAnsiTheme="minorHAnsi"/>
          <w:iCs/>
          <w:sz w:val="20"/>
          <w:szCs w:val="20"/>
        </w:rPr>
        <w:t xml:space="preserve"> (Eastern, Western and Venezuelan)</w:t>
      </w:r>
    </w:p>
    <w:p w14:paraId="6D927EBC" w14:textId="77777777" w:rsidR="00C17C71" w:rsidRPr="00C17C71" w:rsidRDefault="00C17C71" w:rsidP="00C17C71">
      <w:pPr>
        <w:pStyle w:val="Corpsdetexte"/>
        <w:spacing w:after="240"/>
        <w:rPr>
          <w:rFonts w:asciiTheme="minorHAnsi" w:hAnsiTheme="minorHAnsi" w:cstheme="minorHAnsi"/>
          <w:sz w:val="20"/>
          <w:szCs w:val="20"/>
          <w:lang w:val="en-IE"/>
        </w:rPr>
      </w:pPr>
      <w:r w:rsidRPr="00C17C71">
        <w:rPr>
          <w:rFonts w:asciiTheme="minorHAnsi" w:hAnsiTheme="minorHAnsi" w:cstheme="minorHAnsi"/>
          <w:sz w:val="20"/>
          <w:szCs w:val="20"/>
          <w:lang w:val="en-IE"/>
        </w:rPr>
        <w:t>Country making the comments:</w:t>
      </w:r>
    </w:p>
    <w:p w14:paraId="2814EE15" w14:textId="77777777" w:rsidR="00C17C71" w:rsidRPr="00C17C71" w:rsidRDefault="00C17C71" w:rsidP="00C17C71">
      <w:pPr>
        <w:pStyle w:val="Corpsdetexte"/>
        <w:spacing w:after="240"/>
        <w:rPr>
          <w:rFonts w:asciiTheme="minorHAnsi" w:hAnsiTheme="minorHAnsi" w:cstheme="minorHAnsi"/>
          <w:sz w:val="20"/>
          <w:szCs w:val="20"/>
          <w:lang w:val="en-IE"/>
        </w:rPr>
      </w:pPr>
      <w:r w:rsidRPr="00C17C71">
        <w:rPr>
          <w:rFonts w:asciiTheme="minorHAnsi" w:hAnsiTheme="minorHAnsi" w:cstheme="minorHAnsi"/>
          <w:sz w:val="20"/>
          <w:szCs w:val="20"/>
          <w:lang w:val="en-IE"/>
        </w:rPr>
        <w:t>Date:</w:t>
      </w:r>
    </w:p>
    <w:p w14:paraId="45FE51CD" w14:textId="77777777" w:rsidR="00C17C71" w:rsidRPr="00C17C71" w:rsidRDefault="00C17C71" w:rsidP="00C17C71">
      <w:pPr>
        <w:pStyle w:val="Corpsdetexte"/>
        <w:spacing w:after="240"/>
        <w:rPr>
          <w:rFonts w:asciiTheme="minorHAnsi" w:hAnsiTheme="minorHAnsi" w:cstheme="minorHAnsi"/>
          <w:sz w:val="20"/>
          <w:szCs w:val="20"/>
          <w:lang w:val="en-IE"/>
        </w:rPr>
      </w:pPr>
      <w:r w:rsidRPr="00C17C71">
        <w:rPr>
          <w:rFonts w:asciiTheme="minorHAnsi" w:hAnsiTheme="minorHAnsi" w:cstheme="minorHAnsi"/>
          <w:sz w:val="20"/>
          <w:szCs w:val="20"/>
          <w:lang w:val="en-IE"/>
        </w:rPr>
        <w:t>It would be appreciated if the following guidance is followed when making a reply:</w:t>
      </w:r>
    </w:p>
    <w:p w14:paraId="48950BD3" w14:textId="77777777" w:rsidR="00C17C71" w:rsidRPr="00C17C71" w:rsidRDefault="00C17C71" w:rsidP="00C17C71">
      <w:pPr>
        <w:pStyle w:val="Corpsdetexte"/>
        <w:spacing w:after="240"/>
        <w:ind w:left="425" w:hanging="425"/>
        <w:rPr>
          <w:rFonts w:asciiTheme="minorHAnsi" w:hAnsiTheme="minorHAnsi" w:cstheme="minorHAnsi"/>
          <w:sz w:val="20"/>
          <w:szCs w:val="20"/>
          <w:lang w:val="en-IE"/>
        </w:rPr>
      </w:pPr>
      <w:r w:rsidRPr="00C17C71">
        <w:rPr>
          <w:rFonts w:asciiTheme="minorHAnsi" w:hAnsiTheme="minorHAnsi" w:cstheme="minorHAnsi"/>
          <w:sz w:val="20"/>
          <w:szCs w:val="20"/>
          <w:lang w:val="en-IE"/>
        </w:rPr>
        <w:t>1.</w:t>
      </w:r>
      <w:r w:rsidRPr="00C17C71">
        <w:rPr>
          <w:rFonts w:asciiTheme="minorHAnsi" w:hAnsiTheme="minorHAnsi" w:cstheme="minorHAnsi"/>
          <w:sz w:val="20"/>
          <w:szCs w:val="20"/>
          <w:lang w:val="en-IE"/>
        </w:rPr>
        <w:tab/>
        <w:t>Comments may be general or specific, but specific comments are more valuable. General comments should be such that some conclusion and action can be taken in response to them. For example, instead of stating “This test is no longer used in our laboratory”, indicate the reasons the test is no longer used and what test is used instead.</w:t>
      </w:r>
    </w:p>
    <w:p w14:paraId="18F37C24" w14:textId="77777777" w:rsidR="00C17C71" w:rsidRPr="00C17C71" w:rsidRDefault="00C17C71" w:rsidP="00C17C71">
      <w:pPr>
        <w:pStyle w:val="Corpsdetexte"/>
        <w:spacing w:after="240"/>
        <w:ind w:left="425" w:hanging="425"/>
        <w:rPr>
          <w:rFonts w:asciiTheme="minorHAnsi" w:hAnsiTheme="minorHAnsi" w:cstheme="minorHAnsi"/>
          <w:sz w:val="20"/>
          <w:szCs w:val="20"/>
          <w:lang w:val="en-IE"/>
        </w:rPr>
      </w:pPr>
      <w:r w:rsidRPr="00C17C71">
        <w:rPr>
          <w:rFonts w:asciiTheme="minorHAnsi" w:hAnsiTheme="minorHAnsi" w:cstheme="minorHAnsi"/>
          <w:sz w:val="20"/>
          <w:szCs w:val="20"/>
          <w:lang w:val="en-IE"/>
        </w:rPr>
        <w:t>2.</w:t>
      </w:r>
      <w:r w:rsidRPr="00C17C71">
        <w:rPr>
          <w:rFonts w:asciiTheme="minorHAnsi" w:hAnsiTheme="minorHAnsi" w:cstheme="minorHAnsi"/>
          <w:sz w:val="20"/>
          <w:szCs w:val="20"/>
          <w:lang w:val="en-IE"/>
        </w:rPr>
        <w:tab/>
        <w:t>Specific comments should be identified by indicating the line number in the text, to facilitate the editorial process.</w:t>
      </w:r>
    </w:p>
    <w:p w14:paraId="4FEE266D" w14:textId="77777777" w:rsidR="00C17C71" w:rsidRPr="00C17C71" w:rsidRDefault="00C17C71" w:rsidP="00C17C71">
      <w:pPr>
        <w:pStyle w:val="Corpsdetexte"/>
        <w:spacing w:after="240"/>
        <w:ind w:left="425" w:hanging="425"/>
        <w:rPr>
          <w:rFonts w:asciiTheme="minorHAnsi" w:hAnsiTheme="minorHAnsi" w:cstheme="minorHAnsi"/>
          <w:sz w:val="20"/>
          <w:szCs w:val="20"/>
          <w:lang w:val="en-IE"/>
        </w:rPr>
      </w:pPr>
      <w:r w:rsidRPr="00C17C71">
        <w:rPr>
          <w:rFonts w:asciiTheme="minorHAnsi" w:hAnsiTheme="minorHAnsi" w:cstheme="minorHAnsi"/>
          <w:sz w:val="20"/>
          <w:szCs w:val="20"/>
          <w:lang w:val="en-IE"/>
        </w:rPr>
        <w:t>3.</w:t>
      </w:r>
      <w:r w:rsidRPr="00C17C71">
        <w:rPr>
          <w:rFonts w:asciiTheme="minorHAnsi" w:hAnsiTheme="minorHAnsi" w:cstheme="minorHAnsi"/>
          <w:sz w:val="20"/>
          <w:szCs w:val="20"/>
          <w:lang w:val="en-IE"/>
        </w:rPr>
        <w:tab/>
        <w:t xml:space="preserve">Highlighting typing or technical errors is welcome, but the correct word or figure should be indicated in its place. For example, instead of indicating simply “0.8 M is too high”, the preferred value should also be indicated. </w:t>
      </w:r>
    </w:p>
    <w:p w14:paraId="7E450A05" w14:textId="77777777" w:rsidR="00C17C71" w:rsidRPr="00C17C71" w:rsidRDefault="00C17C71" w:rsidP="00C17C71">
      <w:pPr>
        <w:pStyle w:val="Corpsdetexte"/>
        <w:spacing w:after="240"/>
        <w:ind w:left="425" w:hanging="425"/>
        <w:rPr>
          <w:rFonts w:asciiTheme="minorHAnsi" w:hAnsiTheme="minorHAnsi" w:cstheme="minorHAnsi"/>
          <w:sz w:val="20"/>
          <w:szCs w:val="20"/>
          <w:lang w:val="en-IE"/>
        </w:rPr>
      </w:pPr>
      <w:r w:rsidRPr="00C17C71">
        <w:rPr>
          <w:rFonts w:asciiTheme="minorHAnsi" w:hAnsiTheme="minorHAnsi" w:cstheme="minorHAnsi"/>
          <w:sz w:val="20"/>
          <w:szCs w:val="20"/>
          <w:lang w:val="en-IE"/>
        </w:rPr>
        <w:t>4.</w:t>
      </w:r>
      <w:r w:rsidRPr="00C17C71">
        <w:rPr>
          <w:rFonts w:asciiTheme="minorHAnsi" w:hAnsiTheme="minorHAnsi" w:cstheme="minorHAnsi"/>
          <w:sz w:val="20"/>
          <w:szCs w:val="20"/>
          <w:lang w:val="en-IE"/>
        </w:rPr>
        <w:tab/>
        <w:t xml:space="preserve">Bear in mind that the introductory chapters (Part 1 of the </w:t>
      </w:r>
      <w:r w:rsidRPr="00C17C71">
        <w:rPr>
          <w:rFonts w:asciiTheme="minorHAnsi" w:hAnsiTheme="minorHAnsi" w:cstheme="minorHAnsi"/>
          <w:i/>
          <w:sz w:val="20"/>
          <w:szCs w:val="20"/>
          <w:lang w:val="en-IE"/>
        </w:rPr>
        <w:t>Terrestrial Manual</w:t>
      </w:r>
      <w:r w:rsidRPr="00C17C71">
        <w:rPr>
          <w:rFonts w:asciiTheme="minorHAnsi" w:hAnsiTheme="minorHAnsi" w:cstheme="minorHAnsi"/>
          <w:sz w:val="20"/>
          <w:szCs w:val="20"/>
          <w:lang w:val="en-IE"/>
        </w:rPr>
        <w:t xml:space="preserve">) set general standards for the management of veterinary diagnostic laboratories and vaccine facilities and are not intended to be exhaustive, and indeed none of the chapters can give a completely comprehensive cover of the subject, otherwise the </w:t>
      </w:r>
      <w:r w:rsidRPr="00C17C71">
        <w:rPr>
          <w:rFonts w:asciiTheme="minorHAnsi" w:hAnsiTheme="minorHAnsi" w:cstheme="minorHAnsi"/>
          <w:i/>
          <w:sz w:val="20"/>
          <w:szCs w:val="20"/>
          <w:lang w:val="en-IE"/>
        </w:rPr>
        <w:t>Terrestrial Manual</w:t>
      </w:r>
      <w:r w:rsidRPr="00C17C71">
        <w:rPr>
          <w:rFonts w:asciiTheme="minorHAnsi" w:hAnsiTheme="minorHAnsi" w:cstheme="minorHAnsi"/>
          <w:sz w:val="20"/>
          <w:szCs w:val="20"/>
          <w:lang w:val="en-IE"/>
        </w:rPr>
        <w:t xml:space="preserve"> would be too long. However, assistance in indicating priorities is always helpful. </w:t>
      </w:r>
    </w:p>
    <w:p w14:paraId="399E6DA2" w14:textId="77777777" w:rsidR="00C17C71" w:rsidRPr="00C17C71" w:rsidRDefault="00C17C71" w:rsidP="00C17C71">
      <w:pPr>
        <w:pStyle w:val="Corpsdetexte"/>
        <w:spacing w:after="240"/>
        <w:ind w:left="425" w:hanging="425"/>
        <w:rPr>
          <w:rFonts w:asciiTheme="minorHAnsi" w:hAnsiTheme="minorHAnsi" w:cstheme="minorHAnsi"/>
          <w:sz w:val="20"/>
          <w:szCs w:val="20"/>
          <w:lang w:val="en-IE"/>
        </w:rPr>
      </w:pPr>
      <w:r w:rsidRPr="00C17C71">
        <w:rPr>
          <w:rFonts w:asciiTheme="minorHAnsi" w:hAnsiTheme="minorHAnsi" w:cstheme="minorHAnsi"/>
          <w:sz w:val="20"/>
          <w:szCs w:val="20"/>
          <w:lang w:val="en-IE"/>
        </w:rPr>
        <w:t>5.</w:t>
      </w:r>
      <w:r w:rsidRPr="00C17C71">
        <w:rPr>
          <w:rFonts w:asciiTheme="minorHAnsi" w:hAnsiTheme="minorHAnsi" w:cstheme="minorHAnsi"/>
          <w:sz w:val="20"/>
          <w:szCs w:val="20"/>
          <w:lang w:val="en-IE"/>
        </w:rPr>
        <w:tab/>
        <w:t xml:space="preserve">The </w:t>
      </w:r>
      <w:r w:rsidRPr="00C17C71">
        <w:rPr>
          <w:rFonts w:asciiTheme="minorHAnsi" w:hAnsiTheme="minorHAnsi" w:cstheme="minorHAnsi"/>
          <w:i/>
          <w:sz w:val="20"/>
          <w:szCs w:val="20"/>
          <w:lang w:val="en-IE"/>
        </w:rPr>
        <w:t>Terrestrial Manual</w:t>
      </w:r>
      <w:r w:rsidRPr="00C17C71">
        <w:rPr>
          <w:rFonts w:asciiTheme="minorHAnsi" w:hAnsiTheme="minorHAnsi" w:cstheme="minorHAnsi"/>
          <w:sz w:val="20"/>
          <w:szCs w:val="20"/>
          <w:lang w:val="en-IE"/>
        </w:rPr>
        <w:t xml:space="preserve"> is intended for world-wide use. The chapters need to reflect the development of new technology, while maintaining the established methods, usually requiring less sophisticated apparatus. New technology should not be described in detail until it has gained wide acceptance as a reliable method.</w:t>
      </w:r>
    </w:p>
    <w:p w14:paraId="0DE0B799" w14:textId="77777777" w:rsidR="00C17C71" w:rsidRPr="00C17C71" w:rsidRDefault="00C17C71" w:rsidP="00C17C71">
      <w:pPr>
        <w:pStyle w:val="Corpsdetexte"/>
        <w:spacing w:after="240"/>
        <w:ind w:left="425" w:hanging="425"/>
        <w:rPr>
          <w:rFonts w:asciiTheme="minorHAnsi" w:hAnsiTheme="minorHAnsi" w:cstheme="minorHAnsi"/>
          <w:sz w:val="20"/>
          <w:szCs w:val="20"/>
          <w:lang w:val="en-IE"/>
        </w:rPr>
      </w:pPr>
      <w:r w:rsidRPr="00C17C71">
        <w:rPr>
          <w:rFonts w:asciiTheme="minorHAnsi" w:hAnsiTheme="minorHAnsi" w:cstheme="minorHAnsi"/>
          <w:sz w:val="20"/>
          <w:szCs w:val="20"/>
          <w:lang w:val="en-IE"/>
        </w:rPr>
        <w:t>6.</w:t>
      </w:r>
      <w:r w:rsidRPr="00C17C71">
        <w:rPr>
          <w:rFonts w:asciiTheme="minorHAnsi" w:hAnsiTheme="minorHAnsi" w:cstheme="minorHAnsi"/>
          <w:sz w:val="20"/>
          <w:szCs w:val="20"/>
          <w:lang w:val="en-IE"/>
        </w:rPr>
        <w:tab/>
        <w:t>We recommend that if you have no specific comments, please respond to the OIE to that effect.</w:t>
      </w:r>
    </w:p>
    <w:p w14:paraId="00F01099" w14:textId="77777777" w:rsidR="00C17C71" w:rsidRPr="00C17C71" w:rsidRDefault="00C17C71" w:rsidP="00C17C71">
      <w:pPr>
        <w:pStyle w:val="Corpsdetexte"/>
        <w:spacing w:after="240"/>
        <w:ind w:left="425" w:hanging="425"/>
        <w:rPr>
          <w:rFonts w:asciiTheme="minorHAnsi" w:hAnsiTheme="minorHAnsi" w:cstheme="minorHAnsi"/>
          <w:sz w:val="20"/>
          <w:szCs w:val="20"/>
          <w:lang w:val="en-IE"/>
        </w:rPr>
      </w:pPr>
      <w:r w:rsidRPr="00C17C71">
        <w:rPr>
          <w:rFonts w:asciiTheme="minorHAnsi" w:hAnsiTheme="minorHAnsi" w:cstheme="minorHAnsi"/>
          <w:sz w:val="20"/>
          <w:szCs w:val="20"/>
          <w:lang w:val="en-IE"/>
        </w:rPr>
        <w:t>7.</w:t>
      </w:r>
      <w:r w:rsidRPr="00C17C71">
        <w:rPr>
          <w:rFonts w:asciiTheme="minorHAnsi" w:hAnsiTheme="minorHAnsi" w:cstheme="minorHAnsi"/>
          <w:sz w:val="20"/>
          <w:szCs w:val="20"/>
          <w:lang w:val="en-IE"/>
        </w:rPr>
        <w:tab/>
        <w:t>Any comments, proposed changes or revisions should be supported by clear evidence (the scientific rationale) such that some conclusion and action can be taken in response to them.</w:t>
      </w:r>
    </w:p>
    <w:p w14:paraId="14B970E9" w14:textId="77777777" w:rsidR="00C17C71" w:rsidRPr="00C17C71" w:rsidRDefault="00C17C71" w:rsidP="00C17C71">
      <w:pPr>
        <w:pStyle w:val="Corpsdetexte"/>
        <w:tabs>
          <w:tab w:val="left" w:pos="0"/>
        </w:tabs>
        <w:spacing w:after="240"/>
        <w:rPr>
          <w:rFonts w:asciiTheme="minorHAnsi" w:hAnsiTheme="minorHAnsi" w:cstheme="minorHAnsi"/>
          <w:i/>
          <w:sz w:val="20"/>
          <w:szCs w:val="20"/>
          <w:lang w:val="en-IE"/>
        </w:rPr>
      </w:pPr>
      <w:r w:rsidRPr="00C17C71">
        <w:rPr>
          <w:rFonts w:asciiTheme="minorHAnsi" w:hAnsiTheme="minorHAnsi" w:cstheme="minorHAnsi"/>
          <w:i/>
          <w:sz w:val="20"/>
          <w:szCs w:val="20"/>
          <w:lang w:val="en-IE"/>
        </w:rPr>
        <w:t>Your participation in the OIE Standard-setting process is valued. Thank you for your engagement in the process!</w:t>
      </w:r>
    </w:p>
    <w:p w14:paraId="292D5E62" w14:textId="77777777" w:rsidR="00C17C71" w:rsidRPr="00C17C71" w:rsidRDefault="00C17C71" w:rsidP="00C17C71">
      <w:pPr>
        <w:pStyle w:val="Corpsdetexte"/>
        <w:rPr>
          <w:rFonts w:asciiTheme="minorHAnsi" w:hAnsiTheme="minorHAnsi" w:cstheme="minorHAnsi"/>
          <w:i/>
          <w:sz w:val="20"/>
          <w:szCs w:val="20"/>
          <w:u w:val="single"/>
          <w:lang w:val="en-IE"/>
        </w:rPr>
      </w:pPr>
      <w:r w:rsidRPr="00C17C71">
        <w:rPr>
          <w:rFonts w:asciiTheme="minorHAnsi" w:hAnsiTheme="minorHAnsi" w:cstheme="minorHAnsi"/>
          <w:i/>
          <w:sz w:val="20"/>
          <w:szCs w:val="20"/>
          <w:u w:val="single"/>
          <w:lang w:val="en-IE"/>
        </w:rPr>
        <w:t>General Comments</w:t>
      </w:r>
    </w:p>
    <w:p w14:paraId="4C8A9C5F" w14:textId="77777777" w:rsidR="00C17C71" w:rsidRPr="00C17C71" w:rsidRDefault="00C17C71" w:rsidP="00C17C71">
      <w:pPr>
        <w:pStyle w:val="Corpsdetexte"/>
        <w:rPr>
          <w:rFonts w:asciiTheme="minorHAnsi" w:hAnsiTheme="minorHAnsi" w:cstheme="minorHAnsi"/>
          <w:i/>
          <w:sz w:val="20"/>
          <w:szCs w:val="20"/>
          <w:u w:val="single"/>
          <w:lang w:val="en-IE"/>
        </w:rPr>
      </w:pPr>
    </w:p>
    <w:p w14:paraId="7C9DC4A2" w14:textId="77777777" w:rsidR="00C17C71" w:rsidRPr="00C17C71" w:rsidRDefault="00C17C71" w:rsidP="00C17C71">
      <w:pPr>
        <w:pStyle w:val="Corpsdetexte"/>
        <w:rPr>
          <w:rFonts w:asciiTheme="minorHAnsi" w:hAnsiTheme="minorHAnsi" w:cstheme="minorHAnsi"/>
          <w:i/>
          <w:sz w:val="20"/>
          <w:szCs w:val="20"/>
          <w:u w:val="single"/>
          <w:lang w:val="en-IE"/>
        </w:rPr>
      </w:pPr>
    </w:p>
    <w:p w14:paraId="4B8D7463" w14:textId="77777777" w:rsidR="00C17C71" w:rsidRPr="00C17C71" w:rsidRDefault="00C17C71" w:rsidP="00C17C71">
      <w:pPr>
        <w:pStyle w:val="Corpsdetexte"/>
        <w:rPr>
          <w:rFonts w:asciiTheme="minorHAnsi" w:hAnsiTheme="minorHAnsi" w:cstheme="minorHAnsi"/>
          <w:i/>
          <w:sz w:val="20"/>
          <w:szCs w:val="20"/>
          <w:u w:val="single"/>
          <w:lang w:val="en-IE"/>
        </w:rPr>
      </w:pPr>
    </w:p>
    <w:p w14:paraId="0CB6C56C" w14:textId="77777777" w:rsidR="00C17C71" w:rsidRPr="00C17C71" w:rsidRDefault="00C17C71" w:rsidP="00C17C71">
      <w:pPr>
        <w:pStyle w:val="Corpsdetexte"/>
        <w:rPr>
          <w:rFonts w:asciiTheme="minorHAnsi" w:hAnsiTheme="minorHAnsi" w:cstheme="minorHAnsi"/>
          <w:i/>
          <w:sz w:val="20"/>
          <w:szCs w:val="20"/>
          <w:u w:val="single"/>
          <w:lang w:val="en-IE"/>
        </w:rPr>
      </w:pPr>
    </w:p>
    <w:p w14:paraId="5AC07056" w14:textId="77777777" w:rsidR="00C17C71" w:rsidRPr="00C17C71" w:rsidRDefault="00C17C71" w:rsidP="00C17C71">
      <w:pPr>
        <w:pStyle w:val="Corpsdetexte"/>
        <w:rPr>
          <w:rFonts w:asciiTheme="minorHAnsi" w:hAnsiTheme="minorHAnsi" w:cstheme="minorHAnsi"/>
          <w:sz w:val="20"/>
          <w:szCs w:val="20"/>
          <w:u w:val="single"/>
          <w:lang w:val="en-IE"/>
        </w:rPr>
      </w:pPr>
      <w:r w:rsidRPr="00C17C71">
        <w:rPr>
          <w:rFonts w:asciiTheme="minorHAnsi" w:hAnsiTheme="minorHAnsi" w:cstheme="minorHAnsi"/>
          <w:i/>
          <w:sz w:val="20"/>
          <w:szCs w:val="20"/>
          <w:u w:val="single"/>
          <w:lang w:val="en-IE"/>
        </w:rPr>
        <w:t xml:space="preserve">Specific Comments </w:t>
      </w:r>
      <w:r w:rsidRPr="00C17C71">
        <w:rPr>
          <w:rFonts w:asciiTheme="minorHAnsi" w:hAnsiTheme="minorHAnsi" w:cstheme="minorHAnsi"/>
          <w:sz w:val="20"/>
          <w:szCs w:val="20"/>
          <w:u w:val="single"/>
          <w:lang w:val="en-IE"/>
        </w:rPr>
        <w:t>(</w:t>
      </w:r>
      <w:r w:rsidRPr="00C17C71">
        <w:rPr>
          <w:rFonts w:asciiTheme="minorHAnsi" w:hAnsiTheme="minorHAnsi" w:cstheme="minorHAnsi"/>
          <w:i/>
          <w:sz w:val="20"/>
          <w:szCs w:val="20"/>
          <w:u w:val="single"/>
          <w:lang w:val="en-IE"/>
        </w:rPr>
        <w:t>add continuation sheets if required</w:t>
      </w:r>
      <w:r w:rsidRPr="00C17C71">
        <w:rPr>
          <w:rFonts w:asciiTheme="minorHAnsi" w:hAnsiTheme="minorHAnsi" w:cstheme="minorHAnsi"/>
          <w:sz w:val="20"/>
          <w:szCs w:val="20"/>
          <w:u w:val="single"/>
          <w:lang w:val="en-IE"/>
        </w:rPr>
        <w:t>)</w:t>
      </w:r>
    </w:p>
    <w:p w14:paraId="23A2849C" w14:textId="77777777" w:rsidR="00C17C71" w:rsidRPr="00C17C71" w:rsidRDefault="00C17C71" w:rsidP="00C17C71">
      <w:pPr>
        <w:pStyle w:val="Corpsdetexte"/>
        <w:rPr>
          <w:rFonts w:asciiTheme="minorHAnsi" w:hAnsiTheme="minorHAnsi" w:cstheme="minorHAnsi"/>
          <w:i/>
          <w:sz w:val="20"/>
          <w:szCs w:val="20"/>
          <w:u w:val="single"/>
          <w:lang w:val="en-IE"/>
        </w:rPr>
      </w:pPr>
    </w:p>
    <w:p w14:paraId="2CC627B2" w14:textId="77777777" w:rsidR="00C17C71" w:rsidRPr="00C17C71" w:rsidRDefault="00C17C71" w:rsidP="00C17C71">
      <w:pPr>
        <w:spacing w:line="240" w:lineRule="auto"/>
        <w:rPr>
          <w:rFonts w:asciiTheme="minorHAnsi" w:hAnsiTheme="minorHAnsi" w:cstheme="minorHAnsi"/>
          <w:i/>
        </w:rPr>
      </w:pPr>
      <w:r w:rsidRPr="00C17C71">
        <w:rPr>
          <w:rFonts w:asciiTheme="minorHAnsi" w:hAnsiTheme="minorHAnsi" w:cstheme="minorHAnsi"/>
          <w:i/>
        </w:rPr>
        <w:t>line:</w:t>
      </w:r>
    </w:p>
    <w:p w14:paraId="6B56CF57" w14:textId="77777777" w:rsidR="00C17C71" w:rsidRDefault="00C17C71" w:rsidP="00C17C71">
      <w:pPr>
        <w:pStyle w:val="Chatperno"/>
        <w:rPr>
          <w:lang w:val="en-IE"/>
        </w:rPr>
        <w:sectPr w:rsidR="00C17C71" w:rsidSect="00C17C71">
          <w:headerReference w:type="even" r:id="rId9"/>
          <w:headerReference w:type="default" r:id="rId10"/>
          <w:footerReference w:type="even" r:id="rId11"/>
          <w:footerReference w:type="default" r:id="rId12"/>
          <w:type w:val="continuous"/>
          <w:pgSz w:w="11907" w:h="16840" w:code="9"/>
          <w:pgMar w:top="-1418" w:right="1418" w:bottom="1418" w:left="1418" w:header="567" w:footer="567" w:gutter="0"/>
          <w:paperSrc w:first="7" w:other="7"/>
          <w:pgNumType w:start="1"/>
          <w:cols w:space="720"/>
          <w:titlePg/>
          <w:docGrid w:linePitch="272"/>
        </w:sectPr>
      </w:pPr>
    </w:p>
    <w:p w14:paraId="725F91F4" w14:textId="6D86E6F2" w:rsidR="00F6140D" w:rsidRPr="00092FC6" w:rsidRDefault="00C17C71" w:rsidP="00C17C71">
      <w:pPr>
        <w:pStyle w:val="Chatperno"/>
      </w:pPr>
      <w:r w:rsidRPr="00B2399A">
        <w:rPr>
          <w:lang w:val="en-IE"/>
        </w:rPr>
        <w:lastRenderedPageBreak/>
        <w:t xml:space="preserve">Chapter </w:t>
      </w:r>
      <w:r w:rsidR="00710A5A" w:rsidRPr="00092FC6">
        <w:t>3</w:t>
      </w:r>
      <w:r w:rsidR="00F6140D" w:rsidRPr="00092FC6">
        <w:t>.</w:t>
      </w:r>
      <w:r w:rsidR="001B68A1" w:rsidRPr="00092FC6">
        <w:t>5</w:t>
      </w:r>
      <w:r w:rsidR="00F6140D" w:rsidRPr="00092FC6">
        <w:t>.</w:t>
      </w:r>
      <w:r w:rsidR="00EF1D5C" w:rsidRPr="00092FC6">
        <w:t>5</w:t>
      </w:r>
      <w:r w:rsidR="00F6140D" w:rsidRPr="00092FC6">
        <w:t>.</w:t>
      </w:r>
    </w:p>
    <w:p w14:paraId="576F3F0A" w14:textId="4A7DFEDD" w:rsidR="00F6140D" w:rsidRPr="00092FC6" w:rsidRDefault="001B68A1" w:rsidP="00B15A97">
      <w:pPr>
        <w:pStyle w:val="Chaptertitle"/>
      </w:pPr>
      <w:r w:rsidRPr="00092FC6">
        <w:t xml:space="preserve">equine encephalomyelitis </w:t>
      </w:r>
      <w:r w:rsidRPr="00092FC6">
        <w:br/>
      </w:r>
      <w:r w:rsidRPr="00092FC6">
        <w:rPr>
          <w:b w:val="0"/>
          <w:bCs/>
          <w:caps w:val="0"/>
        </w:rPr>
        <w:t>(Eastern</w:t>
      </w:r>
      <w:r w:rsidR="00DC097F" w:rsidRPr="00092FC6">
        <w:rPr>
          <w:b w:val="0"/>
          <w:bCs/>
          <w:caps w:val="0"/>
        </w:rPr>
        <w:t>,</w:t>
      </w:r>
      <w:r w:rsidRPr="00092FC6">
        <w:rPr>
          <w:b w:val="0"/>
          <w:bCs/>
          <w:caps w:val="0"/>
        </w:rPr>
        <w:t xml:space="preserve"> Western</w:t>
      </w:r>
      <w:r w:rsidR="00DC097F" w:rsidRPr="00092FC6">
        <w:rPr>
          <w:b w:val="0"/>
          <w:bCs/>
          <w:caps w:val="0"/>
        </w:rPr>
        <w:t xml:space="preserve"> and Venezuelan</w:t>
      </w:r>
      <w:r w:rsidRPr="00092FC6">
        <w:rPr>
          <w:b w:val="0"/>
          <w:bCs/>
          <w:caps w:val="0"/>
        </w:rPr>
        <w:t>)</w:t>
      </w:r>
    </w:p>
    <w:p w14:paraId="61D25725" w14:textId="77777777" w:rsidR="001B68A1" w:rsidRPr="00092FC6" w:rsidRDefault="001B68A1" w:rsidP="005D7229">
      <w:pPr>
        <w:pStyle w:val="A0"/>
        <w:spacing w:before="1200"/>
      </w:pPr>
      <w:r w:rsidRPr="00092FC6">
        <w:t>SUMMARY</w:t>
      </w:r>
    </w:p>
    <w:p w14:paraId="2B0BE77D" w14:textId="5F428A71" w:rsidR="00403CC1" w:rsidRPr="00092FC6" w:rsidRDefault="0080641B" w:rsidP="005D7229">
      <w:pPr>
        <w:pStyle w:val="sumtexte"/>
      </w:pPr>
      <w:r w:rsidRPr="00092FC6">
        <w:rPr>
          <w:b/>
          <w:bCs/>
          <w:lang w:val="en-IE"/>
        </w:rPr>
        <w:t>Description and importance of the disease</w:t>
      </w:r>
      <w:r w:rsidRPr="00092FC6">
        <w:rPr>
          <w:lang w:val="en-IE"/>
        </w:rPr>
        <w:t>:</w:t>
      </w:r>
      <w:r w:rsidRPr="00092FC6">
        <w:t xml:space="preserve"> </w:t>
      </w:r>
      <w:r w:rsidR="001B68A1" w:rsidRPr="00092FC6">
        <w:t>Eastern</w:t>
      </w:r>
      <w:r w:rsidR="00592ACC" w:rsidRPr="00092FC6">
        <w:t>,</w:t>
      </w:r>
      <w:r w:rsidR="001B68A1" w:rsidRPr="00092FC6">
        <w:t xml:space="preserve"> Western</w:t>
      </w:r>
      <w:r w:rsidR="00592ACC" w:rsidRPr="00092FC6">
        <w:t xml:space="preserve"> and Venezuelan</w:t>
      </w:r>
      <w:r w:rsidR="001B68A1" w:rsidRPr="00092FC6">
        <w:t xml:space="preserve"> equine encephalomyelitis </w:t>
      </w:r>
      <w:r w:rsidR="00A13E2B" w:rsidRPr="00092FC6">
        <w:rPr>
          <w:i w:val="0"/>
        </w:rPr>
        <w:t>(</w:t>
      </w:r>
      <w:r w:rsidR="00A13E2B" w:rsidRPr="00903765">
        <w:rPr>
          <w:bCs/>
        </w:rPr>
        <w:t>EEE, WEE and VEE</w:t>
      </w:r>
      <w:r w:rsidR="00572C30" w:rsidRPr="00572C30">
        <w:rPr>
          <w:bCs/>
          <w:i w:val="0"/>
          <w:iCs w:val="0"/>
        </w:rPr>
        <w:t>)</w:t>
      </w:r>
      <w:r w:rsidR="00903765" w:rsidRPr="00572C30">
        <w:rPr>
          <w:bCs/>
          <w:i w:val="0"/>
          <w:iCs w:val="0"/>
        </w:rPr>
        <w:t>,</w:t>
      </w:r>
      <w:r w:rsidR="00704796" w:rsidRPr="00572C30">
        <w:rPr>
          <w:i w:val="0"/>
          <w:iCs w:val="0"/>
        </w:rPr>
        <w:t xml:space="preserve"> </w:t>
      </w:r>
      <w:r w:rsidR="001B68A1" w:rsidRPr="00092FC6">
        <w:t xml:space="preserve">viruses belong to the genus </w:t>
      </w:r>
      <w:r w:rsidR="001B68A1" w:rsidRPr="00092FC6">
        <w:rPr>
          <w:i w:val="0"/>
          <w:iCs w:val="0"/>
        </w:rPr>
        <w:t>Alphavirus</w:t>
      </w:r>
      <w:r w:rsidR="001B68A1" w:rsidRPr="00092FC6">
        <w:t xml:space="preserve"> of the family </w:t>
      </w:r>
      <w:r w:rsidR="0006278D" w:rsidRPr="00092FC6">
        <w:rPr>
          <w:i w:val="0"/>
        </w:rPr>
        <w:t>Togaviridae</w:t>
      </w:r>
      <w:r w:rsidR="005622FE" w:rsidRPr="00307AD8">
        <w:t xml:space="preserve">. </w:t>
      </w:r>
      <w:r w:rsidR="005622FE" w:rsidRPr="00307AD8">
        <w:rPr>
          <w:u w:val="double"/>
        </w:rPr>
        <w:t>EEE, WEE</w:t>
      </w:r>
      <w:r w:rsidR="00DE69D1" w:rsidRPr="00307AD8">
        <w:rPr>
          <w:u w:val="double"/>
        </w:rPr>
        <w:t xml:space="preserve"> and VEE</w:t>
      </w:r>
      <w:r w:rsidR="004E702B" w:rsidRPr="00307AD8">
        <w:rPr>
          <w:u w:val="double"/>
        </w:rPr>
        <w:t xml:space="preserve"> are considered N</w:t>
      </w:r>
      <w:r w:rsidR="005622FE" w:rsidRPr="00307AD8">
        <w:rPr>
          <w:u w:val="double"/>
        </w:rPr>
        <w:t xml:space="preserve">ew </w:t>
      </w:r>
      <w:r w:rsidR="004E702B" w:rsidRPr="00307AD8">
        <w:rPr>
          <w:u w:val="double"/>
        </w:rPr>
        <w:t>W</w:t>
      </w:r>
      <w:r w:rsidR="00686560" w:rsidRPr="00307AD8">
        <w:rPr>
          <w:u w:val="double"/>
        </w:rPr>
        <w:t>orld</w:t>
      </w:r>
      <w:r w:rsidR="005622FE" w:rsidRPr="00307AD8">
        <w:rPr>
          <w:u w:val="double"/>
        </w:rPr>
        <w:t xml:space="preserve"> alphaviruses</w:t>
      </w:r>
      <w:r w:rsidR="00686560" w:rsidRPr="00307AD8">
        <w:rPr>
          <w:u w:val="double"/>
        </w:rPr>
        <w:t xml:space="preserve"> and can cause disease in both humans and equids with encephalitis in </w:t>
      </w:r>
      <w:r w:rsidR="00A36EE1">
        <w:rPr>
          <w:u w:val="double"/>
        </w:rPr>
        <w:t xml:space="preserve">most </w:t>
      </w:r>
      <w:r w:rsidR="00EC08F6" w:rsidRPr="00307AD8">
        <w:rPr>
          <w:u w:val="double"/>
        </w:rPr>
        <w:t>clinical</w:t>
      </w:r>
      <w:r w:rsidR="00686560" w:rsidRPr="00307AD8">
        <w:rPr>
          <w:u w:val="double"/>
        </w:rPr>
        <w:t xml:space="preserve"> cases</w:t>
      </w:r>
      <w:r w:rsidR="005622FE" w:rsidRPr="00307AD8">
        <w:rPr>
          <w:u w:val="double"/>
        </w:rPr>
        <w:t>.</w:t>
      </w:r>
      <w:r w:rsidR="001B68A1" w:rsidRPr="00307AD8">
        <w:rPr>
          <w:u w:val="double"/>
        </w:rPr>
        <w:t xml:space="preserve"> </w:t>
      </w:r>
      <w:r w:rsidR="004E702B" w:rsidRPr="00307AD8">
        <w:rPr>
          <w:u w:val="double"/>
        </w:rPr>
        <w:t>Old W</w:t>
      </w:r>
      <w:r w:rsidR="005622FE" w:rsidRPr="00307AD8">
        <w:rPr>
          <w:u w:val="double"/>
        </w:rPr>
        <w:t>orld alphaviruses include Chickungunya, O’nyong-nyong</w:t>
      </w:r>
      <w:r w:rsidR="00F31FC8" w:rsidRPr="00307AD8">
        <w:rPr>
          <w:u w:val="double"/>
        </w:rPr>
        <w:t>,</w:t>
      </w:r>
      <w:r w:rsidR="005622FE" w:rsidRPr="00307AD8">
        <w:rPr>
          <w:u w:val="double"/>
        </w:rPr>
        <w:t xml:space="preserve"> and Ross River viruses</w:t>
      </w:r>
      <w:r w:rsidR="00686560" w:rsidRPr="00307AD8">
        <w:rPr>
          <w:u w:val="double"/>
        </w:rPr>
        <w:t xml:space="preserve"> </w:t>
      </w:r>
      <w:r w:rsidR="006D4793" w:rsidRPr="00307AD8">
        <w:rPr>
          <w:u w:val="double"/>
        </w:rPr>
        <w:t xml:space="preserve">and </w:t>
      </w:r>
      <w:r w:rsidR="00686560" w:rsidRPr="00307AD8">
        <w:rPr>
          <w:u w:val="double"/>
        </w:rPr>
        <w:t xml:space="preserve">cause flu-like illnesses with debilitating </w:t>
      </w:r>
      <w:r w:rsidR="00326B91" w:rsidRPr="00307AD8">
        <w:rPr>
          <w:u w:val="double"/>
        </w:rPr>
        <w:t>polyarthritis</w:t>
      </w:r>
      <w:r w:rsidR="006D4793" w:rsidRPr="00307AD8">
        <w:rPr>
          <w:u w:val="double"/>
        </w:rPr>
        <w:t xml:space="preserve">. </w:t>
      </w:r>
      <w:r w:rsidR="00A36EE1" w:rsidRPr="00903765">
        <w:rPr>
          <w:bCs/>
          <w:u w:val="double"/>
        </w:rPr>
        <w:t>EEE, WEE, and VEE</w:t>
      </w:r>
      <w:r w:rsidR="004E702B" w:rsidRPr="00307AD8">
        <w:rPr>
          <w:u w:val="double"/>
        </w:rPr>
        <w:t xml:space="preserve"> are typically maintained in nature by alternating between vertebrate hosts and vector mosquitoes</w:t>
      </w:r>
      <w:r w:rsidR="00A06230" w:rsidRPr="00307AD8">
        <w:rPr>
          <w:u w:val="double"/>
        </w:rPr>
        <w:t xml:space="preserve">. </w:t>
      </w:r>
      <w:r w:rsidR="004E702B" w:rsidRPr="00307AD8">
        <w:rPr>
          <w:u w:val="double"/>
        </w:rPr>
        <w:t xml:space="preserve">Encephalitis caused by </w:t>
      </w:r>
      <w:r w:rsidR="00A36EE1">
        <w:rPr>
          <w:u w:val="double"/>
        </w:rPr>
        <w:t>these encephalitis viruses</w:t>
      </w:r>
      <w:r w:rsidR="004A563E" w:rsidRPr="00903765">
        <w:rPr>
          <w:strike/>
        </w:rPr>
        <w:t xml:space="preserve"> </w:t>
      </w:r>
      <w:r w:rsidR="006D4793" w:rsidRPr="00307AD8">
        <w:rPr>
          <w:strike/>
        </w:rPr>
        <w:t>disease</w:t>
      </w:r>
      <w:r w:rsidR="006D4793" w:rsidRPr="00307AD8">
        <w:t xml:space="preserve"> occurs sporadically in horses and humans from mid-summer to late autumn </w:t>
      </w:r>
      <w:r w:rsidR="006D4793" w:rsidRPr="00307AD8">
        <w:rPr>
          <w:u w:val="double"/>
        </w:rPr>
        <w:t>in temperate regions but can occur year-round in tropical regions, depend</w:t>
      </w:r>
      <w:r w:rsidR="00572C30">
        <w:rPr>
          <w:u w:val="double"/>
        </w:rPr>
        <w:t>ing</w:t>
      </w:r>
      <w:r w:rsidR="006D4793" w:rsidRPr="00307AD8">
        <w:rPr>
          <w:u w:val="double"/>
        </w:rPr>
        <w:t xml:space="preserve"> on </w:t>
      </w:r>
      <w:r w:rsidR="00CC043D" w:rsidRPr="00307AD8">
        <w:rPr>
          <w:u w:val="double"/>
        </w:rPr>
        <w:t xml:space="preserve">climate conditions that support </w:t>
      </w:r>
      <w:r w:rsidR="006D4793" w:rsidRPr="00307AD8">
        <w:rPr>
          <w:u w:val="double"/>
        </w:rPr>
        <w:t>the presence of the mosquito vector.</w:t>
      </w:r>
      <w:r w:rsidR="00686560" w:rsidRPr="00307AD8">
        <w:rPr>
          <w:strike/>
        </w:rPr>
        <w:t xml:space="preserve"> </w:t>
      </w:r>
      <w:r w:rsidR="003F4872" w:rsidRPr="00307AD8">
        <w:rPr>
          <w:strike/>
        </w:rPr>
        <w:t>Alternate infection of birds</w:t>
      </w:r>
      <w:r w:rsidR="00592ACC" w:rsidRPr="00307AD8">
        <w:rPr>
          <w:strike/>
        </w:rPr>
        <w:t>, rodents</w:t>
      </w:r>
      <w:r w:rsidR="003F4872" w:rsidRPr="00307AD8">
        <w:rPr>
          <w:strike/>
        </w:rPr>
        <w:t xml:space="preserve"> and mosquitoes maintain these viruses in nature.</w:t>
      </w:r>
      <w:r w:rsidR="001B68A1" w:rsidRPr="00307AD8">
        <w:t xml:space="preserve"> </w:t>
      </w:r>
      <w:r w:rsidR="00EC08F6" w:rsidRPr="00307AD8">
        <w:rPr>
          <w:strike/>
        </w:rPr>
        <w:t>Horses and humans are incidental end ho</w:t>
      </w:r>
      <w:r w:rsidR="00EC08F6" w:rsidRPr="001A600A">
        <w:rPr>
          <w:strike/>
        </w:rPr>
        <w:t>s</w:t>
      </w:r>
      <w:r w:rsidR="00EC08F6" w:rsidRPr="00307AD8">
        <w:rPr>
          <w:strike/>
        </w:rPr>
        <w:t xml:space="preserve">ts for </w:t>
      </w:r>
      <w:r w:rsidR="00EC08F6" w:rsidRPr="00903765">
        <w:rPr>
          <w:strike/>
        </w:rPr>
        <w:t>EEE and</w:t>
      </w:r>
      <w:r w:rsidR="00EC08F6" w:rsidRPr="00307AD8">
        <w:rPr>
          <w:strike/>
        </w:rPr>
        <w:t xml:space="preserve"> WEE. Horses are not dead-end hosts for VEE virus.</w:t>
      </w:r>
      <w:r w:rsidR="00EC08F6" w:rsidRPr="00903765">
        <w:rPr>
          <w:strike/>
        </w:rPr>
        <w:t xml:space="preserve"> </w:t>
      </w:r>
      <w:r w:rsidR="001B68A1" w:rsidRPr="00307AD8">
        <w:rPr>
          <w:strike/>
        </w:rPr>
        <w:t>The</w:t>
      </w:r>
      <w:r w:rsidR="001B68A1" w:rsidRPr="00307AD8">
        <w:t xml:space="preserve"> </w:t>
      </w:r>
      <w:r w:rsidR="00EC08F6" w:rsidRPr="00307AD8">
        <w:rPr>
          <w:u w:val="double"/>
        </w:rPr>
        <w:t>Clinical</w:t>
      </w:r>
      <w:r w:rsidR="00903765" w:rsidRPr="00092FC6">
        <w:t xml:space="preserve"> </w:t>
      </w:r>
      <w:r w:rsidR="001B68A1" w:rsidRPr="00092FC6">
        <w:t xml:space="preserve">disease in horses is characterised by fever, anorexia, and severe depression. </w:t>
      </w:r>
      <w:r w:rsidR="005B6253" w:rsidRPr="00092FC6">
        <w:t xml:space="preserve">In severe cases, </w:t>
      </w:r>
      <w:r w:rsidR="00403CC1" w:rsidRPr="00092FC6">
        <w:t>it can progress</w:t>
      </w:r>
      <w:r w:rsidR="005B6253" w:rsidRPr="00092FC6">
        <w:t xml:space="preserve"> to hyperexcitability, blindness, ataxia, severe mental depression, recumbency, convulsions, and death. </w:t>
      </w:r>
    </w:p>
    <w:p w14:paraId="0024AC99" w14:textId="2B4D3ABB" w:rsidR="00D34BD9" w:rsidRPr="00092FC6" w:rsidRDefault="001B68A1" w:rsidP="005D7229">
      <w:pPr>
        <w:pStyle w:val="sumtexte"/>
      </w:pPr>
      <w:r w:rsidRPr="00903765">
        <w:rPr>
          <w:bCs/>
        </w:rPr>
        <w:t>EEE</w:t>
      </w:r>
      <w:r w:rsidRPr="00092FC6">
        <w:t xml:space="preserve"> virus infection in horses is often fatal, while </w:t>
      </w:r>
      <w:r w:rsidRPr="00903765">
        <w:rPr>
          <w:bCs/>
        </w:rPr>
        <w:t>WEE</w:t>
      </w:r>
      <w:r w:rsidRPr="006A44E9">
        <w:rPr>
          <w:b/>
        </w:rPr>
        <w:t xml:space="preserve"> </w:t>
      </w:r>
      <w:r w:rsidRPr="00092FC6">
        <w:t xml:space="preserve">virus can cause a subclinical or mild disease with less than 30% mortality. EEE and WEE </w:t>
      </w:r>
      <w:r w:rsidR="00DC0935" w:rsidRPr="00092FC6">
        <w:t xml:space="preserve">viruses </w:t>
      </w:r>
      <w:r w:rsidRPr="00092FC6">
        <w:t>have been reported to cause disease in poultry, game birds and ratites.</w:t>
      </w:r>
      <w:r w:rsidR="00982A42" w:rsidRPr="00092FC6">
        <w:t xml:space="preserve"> </w:t>
      </w:r>
      <w:r w:rsidR="00944A48" w:rsidRPr="00092FC6">
        <w:t>Sporadic cases of EEE have been reported in cows, sheep, pigs, deer, and dogs.</w:t>
      </w:r>
      <w:r w:rsidR="00DE0421" w:rsidRPr="00DE0421">
        <w:t xml:space="preserve"> </w:t>
      </w:r>
      <w:r w:rsidR="00DE0421" w:rsidRPr="00092FC6">
        <w:t xml:space="preserve">Horses and humans are </w:t>
      </w:r>
      <w:r w:rsidR="00DE0421" w:rsidRPr="00307AD8">
        <w:t xml:space="preserve">incidental </w:t>
      </w:r>
      <w:r w:rsidR="00572C30" w:rsidRPr="00307AD8">
        <w:rPr>
          <w:u w:val="double"/>
        </w:rPr>
        <w:t>dead-end</w:t>
      </w:r>
      <w:r w:rsidR="00DE0421" w:rsidRPr="00307AD8">
        <w:t xml:space="preserve"> hosts for </w:t>
      </w:r>
      <w:r w:rsidR="00DE0421" w:rsidRPr="00307AD8">
        <w:rPr>
          <w:u w:val="double"/>
        </w:rPr>
        <w:t>EEE and</w:t>
      </w:r>
      <w:r w:rsidR="00DE0421">
        <w:t xml:space="preserve"> </w:t>
      </w:r>
      <w:r w:rsidR="00DE0421" w:rsidRPr="00092FC6">
        <w:t>WEE.</w:t>
      </w:r>
    </w:p>
    <w:p w14:paraId="5D661196" w14:textId="3ECB9150" w:rsidR="001B68A1" w:rsidRPr="00092FC6" w:rsidRDefault="0067597E" w:rsidP="005D7229">
      <w:pPr>
        <w:pStyle w:val="sumtexte"/>
      </w:pPr>
      <w:r w:rsidRPr="006A44E9">
        <w:rPr>
          <w:u w:val="double"/>
        </w:rPr>
        <w:t>VEE viruses are considered to be one of the most important pathogens in the New World with</w:t>
      </w:r>
      <w:r w:rsidR="00AC66E4" w:rsidRPr="006A44E9">
        <w:rPr>
          <w:u w:val="double"/>
        </w:rPr>
        <w:t>,</w:t>
      </w:r>
      <w:r w:rsidRPr="006A44E9">
        <w:rPr>
          <w:u w:val="double"/>
        </w:rPr>
        <w:t xml:space="preserve"> </w:t>
      </w:r>
      <w:r w:rsidR="00AA7819" w:rsidRPr="006A44E9">
        <w:rPr>
          <w:u w:val="double"/>
        </w:rPr>
        <w:t>for example</w:t>
      </w:r>
      <w:r w:rsidR="00AC66E4" w:rsidRPr="006A44E9">
        <w:rPr>
          <w:u w:val="double"/>
        </w:rPr>
        <w:t>,</w:t>
      </w:r>
      <w:r w:rsidR="00AA7819" w:rsidRPr="006A44E9">
        <w:rPr>
          <w:u w:val="double"/>
        </w:rPr>
        <w:t xml:space="preserve"> </w:t>
      </w:r>
      <w:r w:rsidR="00A94CA6" w:rsidRPr="006A44E9">
        <w:rPr>
          <w:u w:val="double"/>
        </w:rPr>
        <w:t xml:space="preserve">one epidemic </w:t>
      </w:r>
      <w:r w:rsidR="00AA7819" w:rsidRPr="006A44E9">
        <w:rPr>
          <w:u w:val="double"/>
        </w:rPr>
        <w:t xml:space="preserve">in Colombia </w:t>
      </w:r>
      <w:r w:rsidR="00A94CA6" w:rsidRPr="006A44E9">
        <w:rPr>
          <w:u w:val="double"/>
        </w:rPr>
        <w:t>associated</w:t>
      </w:r>
      <w:r w:rsidRPr="006A44E9">
        <w:rPr>
          <w:u w:val="double"/>
        </w:rPr>
        <w:t xml:space="preserve"> </w:t>
      </w:r>
      <w:r w:rsidR="00A94CA6" w:rsidRPr="006A44E9">
        <w:rPr>
          <w:u w:val="double"/>
        </w:rPr>
        <w:t>with up to 100,000 equid deaths and 250,000 human cases. In contrast to EEV and WEE</w:t>
      </w:r>
      <w:r w:rsidR="00572C30">
        <w:rPr>
          <w:u w:val="double"/>
        </w:rPr>
        <w:t>,</w:t>
      </w:r>
      <w:r w:rsidR="00A94CA6" w:rsidRPr="006A44E9">
        <w:rPr>
          <w:u w:val="double"/>
        </w:rPr>
        <w:t xml:space="preserve"> </w:t>
      </w:r>
      <w:r w:rsidR="00D3294C" w:rsidRPr="006A44E9">
        <w:rPr>
          <w:u w:val="double"/>
        </w:rPr>
        <w:t>horses play a key role in virus amplificatio</w:t>
      </w:r>
      <w:r w:rsidR="00AA7819" w:rsidRPr="006A44E9">
        <w:rPr>
          <w:u w:val="double"/>
        </w:rPr>
        <w:t>n, disease spread and maintenance of epizootics.</w:t>
      </w:r>
      <w:r w:rsidR="00AA7819">
        <w:t xml:space="preserve"> </w:t>
      </w:r>
      <w:r w:rsidR="00D34BD9" w:rsidRPr="00092FC6">
        <w:t xml:space="preserve">The </w:t>
      </w:r>
      <w:r w:rsidR="00D34BD9" w:rsidRPr="00903765">
        <w:rPr>
          <w:bCs/>
        </w:rPr>
        <w:t>VEE</w:t>
      </w:r>
      <w:r w:rsidR="00D34BD9" w:rsidRPr="00092FC6">
        <w:t xml:space="preserve"> complex of viruses includes six antigenic subtypes </w:t>
      </w:r>
      <w:r w:rsidR="00D34BD9" w:rsidRPr="00092FC6">
        <w:rPr>
          <w:i w:val="0"/>
          <w:iCs w:val="0"/>
        </w:rPr>
        <w:t>(</w:t>
      </w:r>
      <w:r w:rsidR="00D34BD9" w:rsidRPr="00092FC6">
        <w:t>I–VI</w:t>
      </w:r>
      <w:r w:rsidR="00D34BD9" w:rsidRPr="00092FC6">
        <w:rPr>
          <w:i w:val="0"/>
          <w:iCs w:val="0"/>
        </w:rPr>
        <w:t>)</w:t>
      </w:r>
      <w:r w:rsidR="00D34BD9" w:rsidRPr="00092FC6">
        <w:t>. Within subtype I there are five antigenic variants</w:t>
      </w:r>
      <w:r w:rsidR="00D34BD9" w:rsidRPr="00092FC6">
        <w:rPr>
          <w:i w:val="0"/>
          <w:iCs w:val="0"/>
        </w:rPr>
        <w:t xml:space="preserve"> (</w:t>
      </w:r>
      <w:r w:rsidR="00D34BD9" w:rsidRPr="00092FC6">
        <w:t>variants AB–F</w:t>
      </w:r>
      <w:r w:rsidR="00D34BD9" w:rsidRPr="00092FC6">
        <w:rPr>
          <w:i w:val="0"/>
          <w:iCs w:val="0"/>
        </w:rPr>
        <w:t>)</w:t>
      </w:r>
      <w:r w:rsidR="00D34BD9" w:rsidRPr="00092FC6">
        <w:t xml:space="preserve">. Originally, subtypes I-A and I-B were considered to be distinct variants, but they are now considered to be identical </w:t>
      </w:r>
      <w:r w:rsidR="00D34BD9" w:rsidRPr="00092FC6">
        <w:rPr>
          <w:i w:val="0"/>
          <w:iCs w:val="0"/>
        </w:rPr>
        <w:t>(</w:t>
      </w:r>
      <w:r w:rsidR="00D34BD9" w:rsidRPr="00092FC6">
        <w:t>I-AB</w:t>
      </w:r>
      <w:r w:rsidR="00D34BD9" w:rsidRPr="00092FC6">
        <w:rPr>
          <w:i w:val="0"/>
          <w:iCs w:val="0"/>
        </w:rPr>
        <w:t>).</w:t>
      </w:r>
      <w:r w:rsidR="00D34BD9" w:rsidRPr="00092FC6">
        <w:t xml:space="preserve"> Antigenic variants I-AB and I-C are associated with epizootic activity in equids and human</w:t>
      </w:r>
      <w:r w:rsidR="00307AD8" w:rsidRPr="00307AD8">
        <w:rPr>
          <w:u w:val="double"/>
        </w:rPr>
        <w:t>s</w:t>
      </w:r>
      <w:r w:rsidR="00D34BD9" w:rsidRPr="00307AD8">
        <w:rPr>
          <w:strike/>
        </w:rPr>
        <w:t xml:space="preserve"> epidemics</w:t>
      </w:r>
      <w:r w:rsidR="00D34BD9" w:rsidRPr="00092FC6">
        <w:t>. Historically, severe outbreaks have involved many thousands of human and equine cases. The other three variants of subtype I</w:t>
      </w:r>
      <w:r w:rsidR="00D34BD9" w:rsidRPr="00092FC6">
        <w:rPr>
          <w:i w:val="0"/>
          <w:iCs w:val="0"/>
        </w:rPr>
        <w:t xml:space="preserve"> (</w:t>
      </w:r>
      <w:r w:rsidR="00D34BD9" w:rsidRPr="00092FC6">
        <w:t>I-D, I-E, I-F</w:t>
      </w:r>
      <w:r w:rsidR="00D34BD9" w:rsidRPr="00092FC6">
        <w:rPr>
          <w:i w:val="0"/>
          <w:iCs w:val="0"/>
        </w:rPr>
        <w:t>)</w:t>
      </w:r>
      <w:r w:rsidR="00D34BD9" w:rsidRPr="00092FC6">
        <w:t xml:space="preserve"> and the other five subtypes of VEE </w:t>
      </w:r>
      <w:r w:rsidR="00D34BD9" w:rsidRPr="00092FC6">
        <w:rPr>
          <w:i w:val="0"/>
          <w:iCs w:val="0"/>
        </w:rPr>
        <w:t>(</w:t>
      </w:r>
      <w:r w:rsidR="00D34BD9" w:rsidRPr="00092FC6">
        <w:t>II–VI</w:t>
      </w:r>
      <w:r w:rsidR="00D34BD9" w:rsidRPr="00092FC6">
        <w:rPr>
          <w:i w:val="0"/>
          <w:iCs w:val="0"/>
        </w:rPr>
        <w:t xml:space="preserve">) </w:t>
      </w:r>
      <w:r w:rsidR="00D34BD9" w:rsidRPr="00092FC6">
        <w:t xml:space="preserve">circulate in natural enzootic cycles. </w:t>
      </w:r>
      <w:r w:rsidR="00D34BD9" w:rsidRPr="00307AD8">
        <w:t>Equidae</w:t>
      </w:r>
      <w:r w:rsidR="00EC08F6" w:rsidRPr="00307AD8">
        <w:t xml:space="preserve"> </w:t>
      </w:r>
      <w:r w:rsidR="00EC08F6" w:rsidRPr="00307AD8">
        <w:rPr>
          <w:u w:val="double"/>
        </w:rPr>
        <w:t>are not dead-end hosts for VEE virus</w:t>
      </w:r>
      <w:r w:rsidR="00307AD8">
        <w:rPr>
          <w:u w:val="double"/>
        </w:rPr>
        <w:t>;</w:t>
      </w:r>
      <w:r w:rsidR="00EC08F6" w:rsidRPr="00307AD8">
        <w:rPr>
          <w:u w:val="double"/>
        </w:rPr>
        <w:t xml:space="preserve"> they</w:t>
      </w:r>
      <w:r w:rsidR="00903765" w:rsidRPr="00092FC6">
        <w:t xml:space="preserve"> </w:t>
      </w:r>
      <w:r w:rsidR="00D34BD9" w:rsidRPr="00307AD8">
        <w:t>serve as amplifying ho</w:t>
      </w:r>
      <w:r w:rsidR="00D34BD9" w:rsidRPr="00092FC6">
        <w:t>sts for epizootic VEE strains while enzootic VEE viruses cycle primarily in sylvatic rodents and mosquitoes. Enzootic variants and subtypes have been considered to be nonpathogenic for equids, but can cause clinical disease in humans. During 1993 and 1996</w:t>
      </w:r>
      <w:r w:rsidR="00307AD8" w:rsidRPr="00307AD8">
        <w:rPr>
          <w:u w:val="double"/>
        </w:rPr>
        <w:t>,</w:t>
      </w:r>
      <w:r w:rsidR="00D34BD9" w:rsidRPr="00092FC6">
        <w:t xml:space="preserve"> limited outbreaks of encephalitis in horses in Mexico were shown to be caused by enzootic VEE viruses of subtype I-E. </w:t>
      </w:r>
      <w:r w:rsidR="00D34BD9" w:rsidRPr="00092FC6">
        <w:rPr>
          <w:szCs w:val="22"/>
        </w:rPr>
        <w:t xml:space="preserve">More recently, sporadic outbreaks have occurred in Mexico, Central America, and northern and western parts of South America. Human enzootic subtypes </w:t>
      </w:r>
      <w:r w:rsidR="00D34BD9" w:rsidRPr="00307AD8">
        <w:rPr>
          <w:strike/>
          <w:szCs w:val="22"/>
        </w:rPr>
        <w:t>reach</w:t>
      </w:r>
      <w:r w:rsidR="00D34BD9" w:rsidRPr="00572C30">
        <w:rPr>
          <w:strike/>
          <w:szCs w:val="22"/>
        </w:rPr>
        <w:t xml:space="preserve"> </w:t>
      </w:r>
      <w:r w:rsidR="00307AD8">
        <w:rPr>
          <w:szCs w:val="22"/>
          <w:u w:val="double"/>
        </w:rPr>
        <w:t>extend</w:t>
      </w:r>
      <w:r w:rsidR="00903765" w:rsidRPr="00092FC6">
        <w:t xml:space="preserve"> </w:t>
      </w:r>
      <w:r w:rsidR="00572C30" w:rsidRPr="00092FC6">
        <w:rPr>
          <w:szCs w:val="22"/>
        </w:rPr>
        <w:t xml:space="preserve">more broadly </w:t>
      </w:r>
      <w:r w:rsidR="00D34BD9" w:rsidRPr="00092FC6">
        <w:rPr>
          <w:szCs w:val="22"/>
        </w:rPr>
        <w:t xml:space="preserve">into northern Central America and South America </w:t>
      </w:r>
      <w:r w:rsidR="00D34BD9" w:rsidRPr="00092FC6">
        <w:rPr>
          <w:i w:val="0"/>
          <w:szCs w:val="22"/>
        </w:rPr>
        <w:t>(</w:t>
      </w:r>
      <w:r w:rsidR="00D34BD9" w:rsidRPr="00092FC6">
        <w:rPr>
          <w:szCs w:val="22"/>
        </w:rPr>
        <w:t>Weaver</w:t>
      </w:r>
      <w:r w:rsidR="002F5983" w:rsidRPr="00092FC6">
        <w:rPr>
          <w:szCs w:val="22"/>
        </w:rPr>
        <w:t xml:space="preserve"> </w:t>
      </w:r>
      <w:r w:rsidR="002F5983" w:rsidRPr="00092FC6">
        <w:rPr>
          <w:i w:val="0"/>
          <w:szCs w:val="22"/>
        </w:rPr>
        <w:t>et al.</w:t>
      </w:r>
      <w:r w:rsidR="00D34BD9" w:rsidRPr="00092FC6">
        <w:rPr>
          <w:i w:val="0"/>
          <w:szCs w:val="22"/>
        </w:rPr>
        <w:t>,</w:t>
      </w:r>
      <w:r w:rsidR="00D34BD9" w:rsidRPr="00092FC6">
        <w:rPr>
          <w:szCs w:val="22"/>
        </w:rPr>
        <w:t xml:space="preserve"> 2012</w:t>
      </w:r>
      <w:r w:rsidR="00D34BD9" w:rsidRPr="00092FC6">
        <w:rPr>
          <w:i w:val="0"/>
          <w:szCs w:val="22"/>
        </w:rPr>
        <w:t>).</w:t>
      </w:r>
      <w:r w:rsidR="00944A48" w:rsidRPr="00092FC6">
        <w:t xml:space="preserve"> </w:t>
      </w:r>
    </w:p>
    <w:p w14:paraId="2FBD9DF5" w14:textId="04FA0426" w:rsidR="001B68A1" w:rsidRPr="00092FC6" w:rsidRDefault="00F62F35" w:rsidP="005D7229">
      <w:pPr>
        <w:pStyle w:val="sumtexte"/>
      </w:pPr>
      <w:r w:rsidRPr="006D4BA1">
        <w:rPr>
          <w:b/>
          <w:strike/>
        </w:rPr>
        <w:t xml:space="preserve">Identification </w:t>
      </w:r>
      <w:r w:rsidRPr="006D4BA1">
        <w:rPr>
          <w:b/>
          <w:u w:val="double"/>
        </w:rPr>
        <w:t>Detection</w:t>
      </w:r>
      <w:r w:rsidRPr="006D4BA1">
        <w:rPr>
          <w:b/>
        </w:rPr>
        <w:t xml:space="preserve"> </w:t>
      </w:r>
      <w:r w:rsidR="001B68A1" w:rsidRPr="00092FC6">
        <w:rPr>
          <w:b/>
          <w:bCs/>
        </w:rPr>
        <w:t>of the agent:</w:t>
      </w:r>
      <w:r w:rsidR="001B68A1" w:rsidRPr="00092FC6">
        <w:t xml:space="preserve"> A presumptive diagnosis of EEE</w:t>
      </w:r>
      <w:r w:rsidR="00D34BD9" w:rsidRPr="00092FC6">
        <w:t>,</w:t>
      </w:r>
      <w:r w:rsidR="001B68A1" w:rsidRPr="00092FC6">
        <w:t xml:space="preserve"> WEE</w:t>
      </w:r>
      <w:r w:rsidR="00D34BD9" w:rsidRPr="00092FC6">
        <w:t xml:space="preserve"> or VEE</w:t>
      </w:r>
      <w:r w:rsidR="001B68A1" w:rsidRPr="00092FC6">
        <w:t xml:space="preserve"> can be made when susceptible horses display the characteristic somnolence and other signs of neurological disease in areas where haematophagous insects are active. There are no characteristic gross lesions. Histopathological lesions can provide a presumptive diagnosis. </w:t>
      </w:r>
      <w:r w:rsidR="001B68A1" w:rsidRPr="003D17EF">
        <w:t>EEE virus can usually be isolated from the brain and sometim</w:t>
      </w:r>
      <w:r w:rsidR="00FA1C86" w:rsidRPr="003D17EF">
        <w:t>es other tissues of dead horses</w:t>
      </w:r>
      <w:r w:rsidR="00882CF5" w:rsidRPr="003D17EF">
        <w:t xml:space="preserve">, </w:t>
      </w:r>
      <w:r w:rsidR="001B68A1" w:rsidRPr="003D17EF">
        <w:t>however WEE</w:t>
      </w:r>
      <w:r w:rsidR="00D34BD9" w:rsidRPr="003D17EF">
        <w:t xml:space="preserve"> and VEE</w:t>
      </w:r>
      <w:r w:rsidR="001B68A1" w:rsidRPr="003D17EF">
        <w:t xml:space="preserve"> virus</w:t>
      </w:r>
      <w:r w:rsidR="00D34BD9" w:rsidRPr="003D17EF">
        <w:t>es</w:t>
      </w:r>
      <w:r w:rsidR="001B68A1" w:rsidRPr="003D17EF">
        <w:t xml:space="preserve"> </w:t>
      </w:r>
      <w:r w:rsidR="00D34BD9" w:rsidRPr="003D17EF">
        <w:t>are</w:t>
      </w:r>
      <w:r w:rsidR="001B68A1" w:rsidRPr="003D17EF">
        <w:t xml:space="preserve"> rarely isolated. </w:t>
      </w:r>
      <w:r w:rsidR="00D34BD9" w:rsidRPr="003D17EF">
        <w:t>The</w:t>
      </w:r>
      <w:r w:rsidR="001B68A1" w:rsidRPr="003D17EF">
        <w:t xml:space="preserve"> viruses can be isolated from field specimens by inoculating embryonat</w:t>
      </w:r>
      <w:r w:rsidR="00A6657C" w:rsidRPr="003D17EF">
        <w:t>ed</w:t>
      </w:r>
      <w:r w:rsidR="001B68A1" w:rsidRPr="003D17EF">
        <w:t xml:space="preserve"> chicken eggs</w:t>
      </w:r>
      <w:r w:rsidR="00EC2E89" w:rsidRPr="003D17EF">
        <w:t xml:space="preserve"> </w:t>
      </w:r>
      <w:r w:rsidR="00EC2E89" w:rsidRPr="00A3160F">
        <w:rPr>
          <w:u w:val="double"/>
        </w:rPr>
        <w:t>or</w:t>
      </w:r>
      <w:r w:rsidR="00EC2E89" w:rsidRPr="003D17EF">
        <w:t xml:space="preserve"> </w:t>
      </w:r>
      <w:r w:rsidR="001B68A1" w:rsidRPr="003D17EF">
        <w:t>cell cultures</w:t>
      </w:r>
      <w:r w:rsidR="001B68A1" w:rsidRPr="00A3160F">
        <w:rPr>
          <w:strike/>
        </w:rPr>
        <w:t>, or newly hatched chickens</w:t>
      </w:r>
      <w:r w:rsidR="001B68A1" w:rsidRPr="003D17EF">
        <w:t>.</w:t>
      </w:r>
      <w:r w:rsidR="001B68A1" w:rsidRPr="00092FC6">
        <w:t xml:space="preserve"> The virus </w:t>
      </w:r>
      <w:r w:rsidR="00396E1B" w:rsidRPr="00092FC6">
        <w:t xml:space="preserve">can be </w:t>
      </w:r>
      <w:r w:rsidR="001B68A1" w:rsidRPr="00092FC6">
        <w:t>identified by</w:t>
      </w:r>
      <w:r w:rsidR="00D34BD9" w:rsidRPr="00092FC6">
        <w:t xml:space="preserve"> reverse-transcript</w:t>
      </w:r>
      <w:r w:rsidR="00B608BF" w:rsidRPr="00092FC6">
        <w:t>ase</w:t>
      </w:r>
      <w:r w:rsidR="00D34BD9" w:rsidRPr="00092FC6">
        <w:t xml:space="preserve"> polymerase chain reaction </w:t>
      </w:r>
      <w:r w:rsidR="00D34BD9" w:rsidRPr="00092FC6">
        <w:rPr>
          <w:i w:val="0"/>
        </w:rPr>
        <w:t>(</w:t>
      </w:r>
      <w:r w:rsidR="00D34BD9" w:rsidRPr="00092FC6">
        <w:t>RT-PCR</w:t>
      </w:r>
      <w:r w:rsidR="00D34BD9" w:rsidRPr="00092FC6">
        <w:rPr>
          <w:i w:val="0"/>
        </w:rPr>
        <w:t>)</w:t>
      </w:r>
      <w:r w:rsidR="00D34BD9" w:rsidRPr="00092FC6">
        <w:t>,</w:t>
      </w:r>
      <w:r w:rsidR="001B68A1" w:rsidRPr="00092FC6">
        <w:t xml:space="preserve"> complement fixation </w:t>
      </w:r>
      <w:r w:rsidR="001B68A1" w:rsidRPr="00092FC6">
        <w:rPr>
          <w:i w:val="0"/>
          <w:iCs w:val="0"/>
        </w:rPr>
        <w:t>(</w:t>
      </w:r>
      <w:r w:rsidR="001B68A1" w:rsidRPr="00092FC6">
        <w:t>CF</w:t>
      </w:r>
      <w:r w:rsidR="001B68A1" w:rsidRPr="00092FC6">
        <w:rPr>
          <w:i w:val="0"/>
          <w:iCs w:val="0"/>
        </w:rPr>
        <w:t>)</w:t>
      </w:r>
      <w:r w:rsidR="001B68A1" w:rsidRPr="00092FC6">
        <w:t xml:space="preserve">, </w:t>
      </w:r>
      <w:r w:rsidR="001B68A1" w:rsidRPr="00092FC6">
        <w:lastRenderedPageBreak/>
        <w:t xml:space="preserve">immunofluorescence, or plaque reduction neutralisation </w:t>
      </w:r>
      <w:r w:rsidR="001B68A1" w:rsidRPr="00092FC6">
        <w:rPr>
          <w:i w:val="0"/>
          <w:iCs w:val="0"/>
        </w:rPr>
        <w:t>(</w:t>
      </w:r>
      <w:r w:rsidR="001B68A1" w:rsidRPr="00092FC6">
        <w:t>PRN</w:t>
      </w:r>
      <w:r w:rsidR="001B68A1" w:rsidRPr="00092FC6">
        <w:rPr>
          <w:i w:val="0"/>
          <w:iCs w:val="0"/>
        </w:rPr>
        <w:t>)</w:t>
      </w:r>
      <w:r w:rsidR="001B68A1" w:rsidRPr="00092FC6">
        <w:t xml:space="preserve"> tests.</w:t>
      </w:r>
      <w:r w:rsidR="00D34BD9" w:rsidRPr="00092FC6">
        <w:t xml:space="preserve"> Specific identification of epizootic VEE variants can be made by the indirect fluorescent antibody test, or a differential PRN test using subtype- or variant-specific monoclonal antibody, or by nucleic acid sequencing.</w:t>
      </w:r>
    </w:p>
    <w:p w14:paraId="18617A27" w14:textId="68A2B89A" w:rsidR="001B68A1" w:rsidRPr="00092FC6" w:rsidRDefault="001B68A1" w:rsidP="005D7229">
      <w:pPr>
        <w:pStyle w:val="sumtexte"/>
      </w:pPr>
      <w:r w:rsidRPr="00092FC6">
        <w:rPr>
          <w:b/>
          <w:bCs/>
        </w:rPr>
        <w:t xml:space="preserve">Serological tests: </w:t>
      </w:r>
      <w:r w:rsidR="005A57FD" w:rsidRPr="00092FC6">
        <w:t>Antibod</w:t>
      </w:r>
      <w:r w:rsidR="00396E1B" w:rsidRPr="00092FC6">
        <w:t>ies</w:t>
      </w:r>
      <w:r w:rsidRPr="00092FC6">
        <w:t xml:space="preserve"> can be identified by PRN</w:t>
      </w:r>
      <w:r w:rsidR="00096BAB" w:rsidRPr="00092FC6">
        <w:t xml:space="preserve"> test</w:t>
      </w:r>
      <w:r w:rsidRPr="00092FC6">
        <w:t>, haemagglutination inhibition</w:t>
      </w:r>
      <w:r w:rsidR="00944A48" w:rsidRPr="00092FC6">
        <w:t xml:space="preserve"> </w:t>
      </w:r>
      <w:r w:rsidR="00944A48" w:rsidRPr="00092FC6">
        <w:rPr>
          <w:i w:val="0"/>
          <w:iCs w:val="0"/>
        </w:rPr>
        <w:t>(</w:t>
      </w:r>
      <w:r w:rsidR="00944A48" w:rsidRPr="00092FC6">
        <w:t>HI</w:t>
      </w:r>
      <w:r w:rsidR="00944A48" w:rsidRPr="00092FC6">
        <w:rPr>
          <w:i w:val="0"/>
          <w:iCs w:val="0"/>
        </w:rPr>
        <w:t>)</w:t>
      </w:r>
      <w:r w:rsidRPr="00092FC6">
        <w:t>, CF, or IgM capture enzyme-linked immunosorbent assay.</w:t>
      </w:r>
    </w:p>
    <w:p w14:paraId="5955635E" w14:textId="31F6B73B" w:rsidR="00D34BD9" w:rsidRPr="00092FC6" w:rsidRDefault="001B68A1" w:rsidP="007932E8">
      <w:pPr>
        <w:pStyle w:val="sumtexte"/>
      </w:pPr>
      <w:r w:rsidRPr="00092FC6">
        <w:rPr>
          <w:b/>
        </w:rPr>
        <w:t>Requirements for vaccines:</w:t>
      </w:r>
      <w:r w:rsidRPr="00092FC6">
        <w:t xml:space="preserve"> EEE and WEE vaccines are safe and immunogenic. </w:t>
      </w:r>
      <w:r w:rsidR="00D34BD9" w:rsidRPr="00092FC6">
        <w:t xml:space="preserve">The only </w:t>
      </w:r>
      <w:r w:rsidR="00724D7B" w:rsidRPr="00092FC6">
        <w:t xml:space="preserve">recommended </w:t>
      </w:r>
      <w:r w:rsidR="00D34BD9" w:rsidRPr="00092FC6">
        <w:t>vaccines against VEE are an attenuated virus vaccine, made with strain TC-83, or inactivated virus preparations also made from this strain. Attenuated virus is immunogenic when given by intramuscular injection and can cause adverse reactions in the recipient.</w:t>
      </w:r>
    </w:p>
    <w:p w14:paraId="6E97DBD8" w14:textId="43D7CD0D" w:rsidR="001B68A1" w:rsidRPr="00092FC6" w:rsidRDefault="00D34BD9" w:rsidP="005D7229">
      <w:pPr>
        <w:pStyle w:val="sumtextelastpara"/>
      </w:pPr>
      <w:r w:rsidRPr="00092FC6">
        <w:t xml:space="preserve">Formalin-inactivated virulent VEE virus preparations should </w:t>
      </w:r>
      <w:r w:rsidR="00056296" w:rsidRPr="00092FC6">
        <w:t xml:space="preserve">not </w:t>
      </w:r>
      <w:r w:rsidRPr="00092FC6">
        <w:t xml:space="preserve">be used in equids, as residual virulent virus can remain after formalin treatment, </w:t>
      </w:r>
      <w:r w:rsidRPr="00307AD8">
        <w:rPr>
          <w:strike/>
        </w:rPr>
        <w:t>and thereby</w:t>
      </w:r>
      <w:r w:rsidRPr="00092FC6">
        <w:t xml:space="preserve"> caus</w:t>
      </w:r>
      <w:r w:rsidR="00903765" w:rsidRPr="00903765">
        <w:rPr>
          <w:u w:val="double"/>
        </w:rPr>
        <w:t>i</w:t>
      </w:r>
      <w:r w:rsidR="00307AD8">
        <w:rPr>
          <w:u w:val="double"/>
        </w:rPr>
        <w:t>ng</w:t>
      </w:r>
      <w:r w:rsidRPr="00092FC6">
        <w:t xml:space="preserve"> severe illness in both animals and humans. Epizootics of VEE have occurred from the use of such formalin-treated viruses.</w:t>
      </w:r>
    </w:p>
    <w:p w14:paraId="52D9D7B7" w14:textId="77777777" w:rsidR="001B68A1" w:rsidRPr="00092FC6" w:rsidRDefault="001B68A1" w:rsidP="002C7B8D">
      <w:pPr>
        <w:pStyle w:val="A0"/>
      </w:pPr>
      <w:r w:rsidRPr="00092FC6">
        <w:t>A.  introduction</w:t>
      </w:r>
    </w:p>
    <w:p w14:paraId="3931BA8C" w14:textId="7212013B" w:rsidR="001F695C" w:rsidRDefault="001B68A1" w:rsidP="005D7229">
      <w:pPr>
        <w:pStyle w:val="paraA0"/>
      </w:pPr>
      <w:r w:rsidRPr="001F0CEF">
        <w:t>Eastern equine encephalomyelitis (EEE)</w:t>
      </w:r>
      <w:r w:rsidR="00BD595E" w:rsidRPr="001F0CEF">
        <w:t>,</w:t>
      </w:r>
      <w:r w:rsidRPr="001F0CEF">
        <w:t xml:space="preserve"> Western equine encephalomyelitis (WEE)</w:t>
      </w:r>
      <w:r w:rsidR="00BD595E" w:rsidRPr="001F0CEF">
        <w:t xml:space="preserve"> and Venezuelan equine encephalomyelitis (VEE)</w:t>
      </w:r>
      <w:r w:rsidRPr="001F0CEF">
        <w:t xml:space="preserve"> viruses are members of the genus </w:t>
      </w:r>
      <w:r w:rsidRPr="001F0CEF">
        <w:rPr>
          <w:i/>
          <w:iCs/>
        </w:rPr>
        <w:t>Alphavirus</w:t>
      </w:r>
      <w:r w:rsidRPr="001F0CEF">
        <w:t xml:space="preserve"> of the family </w:t>
      </w:r>
      <w:r w:rsidR="0006278D" w:rsidRPr="001F0CEF">
        <w:rPr>
          <w:i/>
        </w:rPr>
        <w:t>Togaviridae</w:t>
      </w:r>
      <w:r w:rsidRPr="001F0CEF">
        <w:t xml:space="preserve">. </w:t>
      </w:r>
      <w:r w:rsidR="000E5726" w:rsidRPr="001F0CEF">
        <w:rPr>
          <w:u w:val="double"/>
        </w:rPr>
        <w:t>Although closely related, EEE, WEE and VEE are genetically and antigenically distinct (Arechiga-Ceballos</w:t>
      </w:r>
      <w:r w:rsidR="004E39F4">
        <w:rPr>
          <w:u w:val="double"/>
        </w:rPr>
        <w:t xml:space="preserve"> &amp; </w:t>
      </w:r>
      <w:r w:rsidR="004E39F4" w:rsidRPr="00EC2E89">
        <w:rPr>
          <w:u w:val="double"/>
          <w:lang w:val="en-IE"/>
        </w:rPr>
        <w:t>Aguilar-Setien</w:t>
      </w:r>
      <w:r w:rsidR="00AC66E4" w:rsidRPr="00AC66E4">
        <w:rPr>
          <w:i/>
          <w:u w:val="double"/>
        </w:rPr>
        <w:t>,</w:t>
      </w:r>
      <w:r w:rsidR="000E5726" w:rsidRPr="001F0CEF">
        <w:rPr>
          <w:u w:val="double"/>
        </w:rPr>
        <w:t xml:space="preserve"> 2015, Kumar </w:t>
      </w:r>
      <w:r w:rsidR="00AC66E4" w:rsidRPr="00AC66E4">
        <w:rPr>
          <w:i/>
          <w:u w:val="double"/>
        </w:rPr>
        <w:t>et al.,</w:t>
      </w:r>
      <w:r w:rsidR="000E5726" w:rsidRPr="001F0CEF">
        <w:rPr>
          <w:u w:val="double"/>
        </w:rPr>
        <w:t xml:space="preserve"> 2018).</w:t>
      </w:r>
      <w:r w:rsidR="000E5726" w:rsidRPr="001F0CEF">
        <w:t xml:space="preserve"> </w:t>
      </w:r>
      <w:r w:rsidR="003F4872" w:rsidRPr="001F0CEF">
        <w:t xml:space="preserve">The natural ecology for virus maintenance </w:t>
      </w:r>
      <w:r w:rsidR="00AF37B8" w:rsidRPr="001F0CEF">
        <w:rPr>
          <w:u w:val="double"/>
        </w:rPr>
        <w:t>typically</w:t>
      </w:r>
      <w:r w:rsidR="00AF37B8" w:rsidRPr="00AC66E4">
        <w:t xml:space="preserve"> </w:t>
      </w:r>
      <w:r w:rsidR="003F4872" w:rsidRPr="001F0CEF">
        <w:t>occurs via alternat</w:t>
      </w:r>
      <w:r w:rsidR="00307AD8" w:rsidRPr="001F0CEF">
        <w:rPr>
          <w:u w:val="double"/>
        </w:rPr>
        <w:t>ing</w:t>
      </w:r>
      <w:r w:rsidR="003F4872" w:rsidRPr="001F0CEF">
        <w:t xml:space="preserve"> infection of birds</w:t>
      </w:r>
      <w:r w:rsidR="00BD595E" w:rsidRPr="001F0CEF">
        <w:t xml:space="preserve"> </w:t>
      </w:r>
      <w:r w:rsidR="00BD595E" w:rsidRPr="001F0CEF">
        <w:rPr>
          <w:strike/>
        </w:rPr>
        <w:t>(rodents in the case of VEE)</w:t>
      </w:r>
      <w:r w:rsidR="003F4872" w:rsidRPr="00AC66E4">
        <w:rPr>
          <w:strike/>
        </w:rPr>
        <w:t xml:space="preserve"> </w:t>
      </w:r>
      <w:r w:rsidR="003F4872" w:rsidRPr="001F0CEF">
        <w:t>and mosquitoes</w:t>
      </w:r>
      <w:r w:rsidR="001542DE" w:rsidRPr="001F0CEF">
        <w:t xml:space="preserve"> </w:t>
      </w:r>
      <w:r w:rsidR="001542DE" w:rsidRPr="001F0CEF">
        <w:rPr>
          <w:u w:val="double"/>
        </w:rPr>
        <w:t>(EEE and WEE), mosquitoes and rodents (VEE enzootic cycle), or mosquitoes and horses (VEE epizootic cycle) (</w:t>
      </w:r>
      <w:r w:rsidR="00AC66E4" w:rsidRPr="001F0CEF">
        <w:rPr>
          <w:u w:val="double"/>
        </w:rPr>
        <w:t xml:space="preserve">Arechiga-Ceballos </w:t>
      </w:r>
      <w:r w:rsidR="004E39F4">
        <w:rPr>
          <w:u w:val="double"/>
        </w:rPr>
        <w:t xml:space="preserve">&amp; </w:t>
      </w:r>
      <w:r w:rsidR="004E39F4" w:rsidRPr="00EC2E89">
        <w:rPr>
          <w:u w:val="double"/>
          <w:lang w:val="en-IE"/>
        </w:rPr>
        <w:t>Aguilar-Setien</w:t>
      </w:r>
      <w:r w:rsidR="004E39F4" w:rsidRPr="00AC66E4">
        <w:rPr>
          <w:i/>
          <w:u w:val="double"/>
        </w:rPr>
        <w:t>,</w:t>
      </w:r>
      <w:r w:rsidR="004E39F4" w:rsidRPr="001F0CEF">
        <w:rPr>
          <w:u w:val="double"/>
        </w:rPr>
        <w:t xml:space="preserve"> </w:t>
      </w:r>
      <w:r w:rsidR="00AC66E4" w:rsidRPr="001F0CEF">
        <w:rPr>
          <w:u w:val="double"/>
        </w:rPr>
        <w:t>2015</w:t>
      </w:r>
      <w:r w:rsidR="00AC66E4">
        <w:rPr>
          <w:u w:val="double"/>
        </w:rPr>
        <w:t xml:space="preserve">; </w:t>
      </w:r>
      <w:r w:rsidR="001F0CEF">
        <w:rPr>
          <w:u w:val="double"/>
        </w:rPr>
        <w:t>Go</w:t>
      </w:r>
      <w:r w:rsidR="001542DE" w:rsidRPr="001F0CEF">
        <w:rPr>
          <w:u w:val="double"/>
        </w:rPr>
        <w:t xml:space="preserve"> </w:t>
      </w:r>
      <w:r w:rsidR="00AC66E4" w:rsidRPr="00AC66E4">
        <w:rPr>
          <w:i/>
          <w:u w:val="double"/>
        </w:rPr>
        <w:t>et al.,</w:t>
      </w:r>
      <w:r w:rsidR="001542DE" w:rsidRPr="001F0CEF">
        <w:rPr>
          <w:u w:val="double"/>
        </w:rPr>
        <w:t xml:space="preserve"> 2014</w:t>
      </w:r>
      <w:r w:rsidR="001F0CEF">
        <w:rPr>
          <w:u w:val="double"/>
        </w:rPr>
        <w:t>;</w:t>
      </w:r>
      <w:r w:rsidR="001542DE" w:rsidRPr="001F0CEF">
        <w:rPr>
          <w:u w:val="double"/>
        </w:rPr>
        <w:t xml:space="preserve"> Salimi</w:t>
      </w:r>
      <w:r w:rsidR="001F0CEF" w:rsidRPr="001F0CEF">
        <w:rPr>
          <w:u w:val="double"/>
        </w:rPr>
        <w:t xml:space="preserve"> </w:t>
      </w:r>
      <w:r w:rsidR="001F0CEF" w:rsidRPr="00AC66E4">
        <w:rPr>
          <w:i/>
          <w:iCs/>
          <w:u w:val="double"/>
        </w:rPr>
        <w:t>et al.,</w:t>
      </w:r>
      <w:r w:rsidR="001F0CEF" w:rsidRPr="001F0CEF">
        <w:rPr>
          <w:u w:val="double"/>
        </w:rPr>
        <w:t xml:space="preserve"> 2016</w:t>
      </w:r>
      <w:r w:rsidR="001542DE" w:rsidRPr="001F0CEF">
        <w:rPr>
          <w:u w:val="double"/>
        </w:rPr>
        <w:t>)</w:t>
      </w:r>
      <w:r w:rsidR="006367F5" w:rsidRPr="001F0CEF">
        <w:rPr>
          <w:u w:val="double"/>
        </w:rPr>
        <w:t>.</w:t>
      </w:r>
      <w:r w:rsidR="001542DE">
        <w:t xml:space="preserve"> </w:t>
      </w:r>
      <w:r w:rsidR="00CE4F13" w:rsidRPr="00092FC6">
        <w:t>EEE virus has als</w:t>
      </w:r>
      <w:r w:rsidR="00CE4F13" w:rsidRPr="001F0CEF">
        <w:t>o been isolated from snakes, and these may have a role as reservoir hosts (</w:t>
      </w:r>
      <w:r w:rsidR="001F0CEF" w:rsidRPr="001F0CEF">
        <w:t xml:space="preserve">Bingham </w:t>
      </w:r>
      <w:r w:rsidR="001F0CEF" w:rsidRPr="00294D56">
        <w:rPr>
          <w:i/>
          <w:iCs/>
        </w:rPr>
        <w:t>et al.,</w:t>
      </w:r>
      <w:r w:rsidR="001F0CEF" w:rsidRPr="001F0CEF">
        <w:t xml:space="preserve"> 201</w:t>
      </w:r>
      <w:r w:rsidR="00294D56">
        <w:t xml:space="preserve">2; </w:t>
      </w:r>
      <w:r w:rsidR="00294D56" w:rsidRPr="001F0CEF">
        <w:rPr>
          <w:u w:val="double"/>
        </w:rPr>
        <w:t xml:space="preserve">White </w:t>
      </w:r>
      <w:r w:rsidR="00294D56" w:rsidRPr="00AC66E4">
        <w:rPr>
          <w:i/>
          <w:u w:val="double"/>
        </w:rPr>
        <w:t>et al.,</w:t>
      </w:r>
      <w:r w:rsidR="00294D56" w:rsidRPr="001F0CEF">
        <w:rPr>
          <w:u w:val="double"/>
        </w:rPr>
        <w:t xml:space="preserve"> 2011</w:t>
      </w:r>
      <w:r w:rsidR="00CE4F13" w:rsidRPr="001F0CEF">
        <w:t xml:space="preserve">). </w:t>
      </w:r>
      <w:r w:rsidR="00150D55" w:rsidRPr="001F0CEF">
        <w:t>C</w:t>
      </w:r>
      <w:r w:rsidRPr="001F0CEF">
        <w:t>linical dise</w:t>
      </w:r>
      <w:r w:rsidRPr="001F695C">
        <w:t>ase may be observed in humans and horses, both of which are</w:t>
      </w:r>
      <w:r w:rsidR="00096BAB" w:rsidRPr="001F695C">
        <w:t xml:space="preserve"> incidental</w:t>
      </w:r>
      <w:r w:rsidRPr="001F695C">
        <w:t xml:space="preserve"> dead-end hosts for </w:t>
      </w:r>
      <w:r w:rsidR="001F0CEF" w:rsidRPr="001F695C">
        <w:rPr>
          <w:u w:val="double"/>
        </w:rPr>
        <w:t>EEE</w:t>
      </w:r>
      <w:r w:rsidR="00903765" w:rsidRPr="001F0CEF">
        <w:rPr>
          <w:u w:val="double"/>
        </w:rPr>
        <w:t xml:space="preserve"> </w:t>
      </w:r>
      <w:r w:rsidR="001F0CEF" w:rsidRPr="001F695C">
        <w:rPr>
          <w:u w:val="double"/>
        </w:rPr>
        <w:t>and</w:t>
      </w:r>
      <w:r w:rsidR="001F0CEF" w:rsidRPr="001F695C">
        <w:t xml:space="preserve"> </w:t>
      </w:r>
      <w:r w:rsidR="009E71D2" w:rsidRPr="001F695C">
        <w:t>WEE virus</w:t>
      </w:r>
      <w:r w:rsidR="002D26B4" w:rsidRPr="001F695C">
        <w:t xml:space="preserve"> </w:t>
      </w:r>
      <w:r w:rsidR="002D26B4" w:rsidRPr="001F695C">
        <w:rPr>
          <w:u w:val="double"/>
        </w:rPr>
        <w:t xml:space="preserve">(Kumar </w:t>
      </w:r>
      <w:r w:rsidR="002D26B4" w:rsidRPr="00AC66E4">
        <w:rPr>
          <w:i/>
          <w:iCs/>
          <w:u w:val="double"/>
        </w:rPr>
        <w:t>et al.,</w:t>
      </w:r>
      <w:r w:rsidR="002D26B4" w:rsidRPr="001F695C">
        <w:rPr>
          <w:u w:val="double"/>
        </w:rPr>
        <w:t xml:space="preserve"> 201</w:t>
      </w:r>
      <w:r w:rsidR="004E39F4">
        <w:rPr>
          <w:u w:val="double"/>
        </w:rPr>
        <w:t>8</w:t>
      </w:r>
      <w:r w:rsidR="00AC66E4">
        <w:rPr>
          <w:u w:val="double"/>
        </w:rPr>
        <w:t>;</w:t>
      </w:r>
      <w:r w:rsidR="00AC66E4" w:rsidRPr="00AC66E4">
        <w:rPr>
          <w:u w:val="double"/>
        </w:rPr>
        <w:t xml:space="preserve"> </w:t>
      </w:r>
      <w:r w:rsidR="00AC66E4" w:rsidRPr="001F695C">
        <w:rPr>
          <w:u w:val="double"/>
        </w:rPr>
        <w:t>Zacks</w:t>
      </w:r>
      <w:r w:rsidR="00294D56">
        <w:rPr>
          <w:u w:val="double"/>
        </w:rPr>
        <w:t xml:space="preserve"> &amp; </w:t>
      </w:r>
      <w:r w:rsidR="00294D56" w:rsidRPr="00294D56">
        <w:rPr>
          <w:rFonts w:eastAsiaTheme="minorHAnsi"/>
          <w:u w:val="double"/>
          <w:lang w:eastAsia="en-US"/>
        </w:rPr>
        <w:t>Paessler</w:t>
      </w:r>
      <w:r w:rsidR="00AC66E4" w:rsidRPr="00AC66E4">
        <w:rPr>
          <w:i/>
          <w:iCs/>
          <w:u w:val="double"/>
        </w:rPr>
        <w:t>,</w:t>
      </w:r>
      <w:r w:rsidR="00AC66E4" w:rsidRPr="001F695C">
        <w:rPr>
          <w:u w:val="double"/>
        </w:rPr>
        <w:t xml:space="preserve"> 2010</w:t>
      </w:r>
      <w:r w:rsidR="002D26B4" w:rsidRPr="001F695C">
        <w:rPr>
          <w:u w:val="double"/>
        </w:rPr>
        <w:t>)</w:t>
      </w:r>
      <w:r w:rsidRPr="001F695C">
        <w:rPr>
          <w:u w:val="double"/>
        </w:rPr>
        <w:t>.</w:t>
      </w:r>
      <w:r w:rsidRPr="001F695C">
        <w:t xml:space="preserve"> </w:t>
      </w:r>
    </w:p>
    <w:p w14:paraId="31E0BB42" w14:textId="4883334D" w:rsidR="00165AD0" w:rsidRPr="00380F6B" w:rsidRDefault="002D26B4" w:rsidP="005D7229">
      <w:pPr>
        <w:pStyle w:val="paraA0"/>
        <w:rPr>
          <w:strike/>
        </w:rPr>
      </w:pPr>
      <w:r w:rsidRPr="00380F6B">
        <w:rPr>
          <w:u w:val="double"/>
        </w:rPr>
        <w:t xml:space="preserve">All three viruses are considered New World </w:t>
      </w:r>
      <w:r w:rsidR="003E2F9A" w:rsidRPr="00380F6B">
        <w:rPr>
          <w:u w:val="double"/>
        </w:rPr>
        <w:t>alpha</w:t>
      </w:r>
      <w:r w:rsidRPr="00380F6B">
        <w:rPr>
          <w:u w:val="double"/>
        </w:rPr>
        <w:t>viruses and, as such, have</w:t>
      </w:r>
      <w:r w:rsidR="000614DA" w:rsidRPr="00380F6B">
        <w:rPr>
          <w:u w:val="double"/>
        </w:rPr>
        <w:t xml:space="preserve"> associated</w:t>
      </w:r>
      <w:r w:rsidRPr="00380F6B">
        <w:rPr>
          <w:u w:val="double"/>
        </w:rPr>
        <w:t xml:space="preserve"> </w:t>
      </w:r>
      <w:r w:rsidR="003E2F9A" w:rsidRPr="00380F6B">
        <w:rPr>
          <w:u w:val="double"/>
        </w:rPr>
        <w:t>distributions</w:t>
      </w:r>
      <w:r w:rsidR="000C7675" w:rsidRPr="00380F6B">
        <w:rPr>
          <w:u w:val="double"/>
        </w:rPr>
        <w:t xml:space="preserve"> (Arechiga-Ceballos</w:t>
      </w:r>
      <w:r w:rsidR="001F695C" w:rsidRPr="00380F6B">
        <w:rPr>
          <w:u w:val="double"/>
        </w:rPr>
        <w:t xml:space="preserve"> </w:t>
      </w:r>
      <w:r w:rsidR="004E39F4">
        <w:rPr>
          <w:u w:val="double"/>
        </w:rPr>
        <w:t xml:space="preserve">&amp; </w:t>
      </w:r>
      <w:r w:rsidR="004E39F4" w:rsidRPr="00EC2E89">
        <w:rPr>
          <w:u w:val="double"/>
          <w:lang w:val="en-IE"/>
        </w:rPr>
        <w:t>Aguilar-Setien</w:t>
      </w:r>
      <w:r w:rsidR="004E39F4" w:rsidRPr="00AC66E4">
        <w:rPr>
          <w:i/>
          <w:u w:val="double"/>
        </w:rPr>
        <w:t>,</w:t>
      </w:r>
      <w:r w:rsidR="004E39F4" w:rsidRPr="001F0CEF">
        <w:rPr>
          <w:u w:val="double"/>
        </w:rPr>
        <w:t xml:space="preserve"> </w:t>
      </w:r>
      <w:r w:rsidR="000C7675" w:rsidRPr="00380F6B">
        <w:rPr>
          <w:u w:val="double"/>
        </w:rPr>
        <w:t xml:space="preserve">2015). EEE has lineages associated with both North America (predominately the central and eastern </w:t>
      </w:r>
      <w:r w:rsidR="001F0CEF" w:rsidRPr="00380F6B">
        <w:rPr>
          <w:u w:val="double"/>
        </w:rPr>
        <w:t xml:space="preserve">United States of America </w:t>
      </w:r>
      <w:r w:rsidR="004F69FF">
        <w:rPr>
          <w:u w:val="double"/>
        </w:rPr>
        <w:t>[</w:t>
      </w:r>
      <w:r w:rsidR="001F0CEF" w:rsidRPr="00380F6B">
        <w:rPr>
          <w:u w:val="double"/>
        </w:rPr>
        <w:t>USA</w:t>
      </w:r>
      <w:r w:rsidR="004F69FF">
        <w:rPr>
          <w:u w:val="double"/>
        </w:rPr>
        <w:t>]</w:t>
      </w:r>
      <w:r w:rsidR="001F0CEF" w:rsidRPr="00380F6B">
        <w:rPr>
          <w:u w:val="double"/>
        </w:rPr>
        <w:t>,</w:t>
      </w:r>
      <w:r w:rsidR="00903765" w:rsidRPr="00380F6B">
        <w:rPr>
          <w:u w:val="double"/>
        </w:rPr>
        <w:t xml:space="preserve"> </w:t>
      </w:r>
      <w:r w:rsidR="000C7675" w:rsidRPr="00380F6B">
        <w:rPr>
          <w:u w:val="double"/>
        </w:rPr>
        <w:t>Canada</w:t>
      </w:r>
      <w:r w:rsidR="00380F6B">
        <w:rPr>
          <w:u w:val="double"/>
        </w:rPr>
        <w:t>,</w:t>
      </w:r>
      <w:r w:rsidR="000C7675" w:rsidRPr="00380F6B">
        <w:rPr>
          <w:u w:val="double"/>
        </w:rPr>
        <w:t xml:space="preserve"> and </w:t>
      </w:r>
      <w:r w:rsidR="00430AF8" w:rsidRPr="00380F6B">
        <w:rPr>
          <w:u w:val="double"/>
        </w:rPr>
        <w:t>Central America</w:t>
      </w:r>
      <w:r w:rsidR="001F0CEF" w:rsidRPr="00380F6B">
        <w:rPr>
          <w:u w:val="double"/>
        </w:rPr>
        <w:t>) and South Amer</w:t>
      </w:r>
      <w:r w:rsidR="000C7675" w:rsidRPr="00380F6B">
        <w:rPr>
          <w:u w:val="double"/>
        </w:rPr>
        <w:t>i</w:t>
      </w:r>
      <w:r w:rsidR="001F0CEF" w:rsidRPr="00380F6B">
        <w:rPr>
          <w:u w:val="double"/>
        </w:rPr>
        <w:t>c</w:t>
      </w:r>
      <w:r w:rsidR="000C7675" w:rsidRPr="00380F6B">
        <w:rPr>
          <w:u w:val="double"/>
        </w:rPr>
        <w:t>a</w:t>
      </w:r>
      <w:r w:rsidR="001F695C" w:rsidRPr="00380F6B">
        <w:rPr>
          <w:u w:val="double"/>
        </w:rPr>
        <w:t>.</w:t>
      </w:r>
      <w:r w:rsidR="00903765" w:rsidRPr="00092FC6">
        <w:t xml:space="preserve"> </w:t>
      </w:r>
      <w:r w:rsidR="001F695C" w:rsidRPr="00380F6B">
        <w:t xml:space="preserve">The South American strains of EEE, previously known as lineages II, III, and IV, are now known as Madariaga virus (Arrigo </w:t>
      </w:r>
      <w:r w:rsidR="004F69FF" w:rsidRPr="004F69FF">
        <w:rPr>
          <w:i/>
          <w:iCs/>
        </w:rPr>
        <w:t>et al.</w:t>
      </w:r>
      <w:r w:rsidR="004F69FF">
        <w:t xml:space="preserve">, </w:t>
      </w:r>
      <w:r w:rsidR="001F695C" w:rsidRPr="00380F6B">
        <w:t>2010) after strains causing outbreaks in Darien, Panama in 2010 (Carrera</w:t>
      </w:r>
      <w:r w:rsidR="004F69FF">
        <w:t xml:space="preserve"> </w:t>
      </w:r>
      <w:r w:rsidR="004F69FF" w:rsidRPr="004F69FF">
        <w:rPr>
          <w:i/>
          <w:iCs/>
        </w:rPr>
        <w:t>et al.</w:t>
      </w:r>
      <w:r w:rsidR="004F69FF">
        <w:t xml:space="preserve">, </w:t>
      </w:r>
      <w:r w:rsidR="001F695C" w:rsidRPr="00380F6B">
        <w:t xml:space="preserve">2013) led to the re-evaluation of viral sequencing and reclassification </w:t>
      </w:r>
      <w:r w:rsidR="00C87D30">
        <w:t xml:space="preserve">of the South American strain of EEE (Madariaga virus) </w:t>
      </w:r>
      <w:r w:rsidR="001F695C" w:rsidRPr="00380F6B">
        <w:rPr>
          <w:u w:val="double"/>
        </w:rPr>
        <w:t xml:space="preserve">as a separate </w:t>
      </w:r>
      <w:r w:rsidR="00C87D30">
        <w:rPr>
          <w:u w:val="double"/>
        </w:rPr>
        <w:t xml:space="preserve">divergent </w:t>
      </w:r>
      <w:r w:rsidR="001F695C" w:rsidRPr="00380F6B">
        <w:rPr>
          <w:u w:val="double"/>
        </w:rPr>
        <w:t>strain</w:t>
      </w:r>
      <w:r w:rsidR="001F0CEF" w:rsidRPr="00380F6B">
        <w:rPr>
          <w:u w:val="double"/>
        </w:rPr>
        <w:t xml:space="preserve">. WEE </w:t>
      </w:r>
      <w:r w:rsidR="001F695C" w:rsidRPr="00380F6B">
        <w:rPr>
          <w:u w:val="double"/>
        </w:rPr>
        <w:t xml:space="preserve">was historically detected </w:t>
      </w:r>
      <w:r w:rsidR="001F0CEF" w:rsidRPr="00380F6B">
        <w:rPr>
          <w:u w:val="double"/>
        </w:rPr>
        <w:t>primarily in the</w:t>
      </w:r>
      <w:r w:rsidR="00903765" w:rsidRPr="005A217A">
        <w:t xml:space="preserve"> </w:t>
      </w:r>
      <w:r w:rsidR="00380F6B" w:rsidRPr="005A217A">
        <w:t>western USA and Canada, Mexico, and Central and South America (</w:t>
      </w:r>
      <w:r w:rsidR="00AC66E4" w:rsidRPr="00380F6B">
        <w:rPr>
          <w:u w:val="double"/>
        </w:rPr>
        <w:t xml:space="preserve">Arechiga-Ceballos </w:t>
      </w:r>
      <w:r w:rsidR="004E39F4">
        <w:rPr>
          <w:u w:val="double"/>
        </w:rPr>
        <w:t xml:space="preserve">&amp; </w:t>
      </w:r>
      <w:r w:rsidR="004E39F4" w:rsidRPr="00EC2E89">
        <w:rPr>
          <w:u w:val="double"/>
          <w:lang w:val="en-IE"/>
        </w:rPr>
        <w:t>Aguilar-Setien</w:t>
      </w:r>
      <w:r w:rsidR="004E39F4" w:rsidRPr="00AC66E4">
        <w:rPr>
          <w:i/>
          <w:u w:val="double"/>
        </w:rPr>
        <w:t>,</w:t>
      </w:r>
      <w:r w:rsidR="004E39F4" w:rsidRPr="001F0CEF">
        <w:rPr>
          <w:u w:val="double"/>
        </w:rPr>
        <w:t xml:space="preserve"> </w:t>
      </w:r>
      <w:r w:rsidR="00AC66E4" w:rsidRPr="00380F6B">
        <w:rPr>
          <w:u w:val="double"/>
        </w:rPr>
        <w:t>2015; Kumar, 2018</w:t>
      </w:r>
      <w:r w:rsidR="00AC66E4">
        <w:rPr>
          <w:u w:val="double"/>
        </w:rPr>
        <w:t>;</w:t>
      </w:r>
      <w:r w:rsidR="00AC66E4" w:rsidRPr="00AC66E4">
        <w:t xml:space="preserve"> </w:t>
      </w:r>
      <w:r w:rsidR="00380F6B" w:rsidRPr="005A217A">
        <w:t xml:space="preserve">Morris, 1989; </w:t>
      </w:r>
      <w:r w:rsidR="00380F6B" w:rsidRPr="005A217A">
        <w:rPr>
          <w:lang w:val="de-DE"/>
        </w:rPr>
        <w:t>Reisen &amp; Monath, 1989</w:t>
      </w:r>
      <w:r w:rsidR="00380F6B" w:rsidRPr="005A217A">
        <w:t>; Walton, 1981</w:t>
      </w:r>
      <w:r w:rsidR="00430AF8" w:rsidRPr="00AC66E4">
        <w:t xml:space="preserve">). </w:t>
      </w:r>
      <w:r w:rsidR="00380F6B" w:rsidRPr="005A217A">
        <w:t xml:space="preserve">Highlands J virus, antigenically related to WEE virus, has been isolated in </w:t>
      </w:r>
      <w:r w:rsidR="005A217A" w:rsidRPr="005A217A">
        <w:rPr>
          <w:u w:val="double"/>
        </w:rPr>
        <w:t>the</w:t>
      </w:r>
      <w:r w:rsidR="005A217A">
        <w:t xml:space="preserve"> </w:t>
      </w:r>
      <w:r w:rsidR="00380F6B" w:rsidRPr="005A217A">
        <w:t xml:space="preserve">eastern USA. Although Highlands J virus is generally believed not to cause disease in mammals, it has been isolated from the brain of a horse in Florida dying of encephalitis (Karabatsos </w:t>
      </w:r>
      <w:r w:rsidR="00380F6B" w:rsidRPr="005A217A">
        <w:rPr>
          <w:i/>
        </w:rPr>
        <w:t>et al</w:t>
      </w:r>
      <w:r w:rsidR="00380F6B" w:rsidRPr="005A217A">
        <w:t>., 1988).</w:t>
      </w:r>
      <w:r w:rsidR="005A217A">
        <w:t xml:space="preserve"> </w:t>
      </w:r>
      <w:r w:rsidR="00430AF8" w:rsidRPr="00380F6B">
        <w:rPr>
          <w:u w:val="double"/>
        </w:rPr>
        <w:t xml:space="preserve">VEE has been </w:t>
      </w:r>
      <w:r w:rsidR="003E2F9A" w:rsidRPr="00380F6B">
        <w:rPr>
          <w:u w:val="double"/>
        </w:rPr>
        <w:t xml:space="preserve">routinely </w:t>
      </w:r>
      <w:r w:rsidR="00430AF8" w:rsidRPr="00380F6B">
        <w:rPr>
          <w:u w:val="double"/>
        </w:rPr>
        <w:t xml:space="preserve">identified in Central and South America with </w:t>
      </w:r>
      <w:r w:rsidR="00380F6B" w:rsidRPr="00380F6B">
        <w:rPr>
          <w:u w:val="double"/>
        </w:rPr>
        <w:t>occasional</w:t>
      </w:r>
      <w:r w:rsidR="00430AF8" w:rsidRPr="00380F6B">
        <w:rPr>
          <w:u w:val="double"/>
        </w:rPr>
        <w:t xml:space="preserve"> isolations in the southern US</w:t>
      </w:r>
      <w:r w:rsidR="00B634B9" w:rsidRPr="00380F6B">
        <w:rPr>
          <w:u w:val="double"/>
        </w:rPr>
        <w:t>A</w:t>
      </w:r>
      <w:r w:rsidR="00430AF8" w:rsidRPr="00380F6B">
        <w:rPr>
          <w:u w:val="double"/>
        </w:rPr>
        <w:t xml:space="preserve"> (Kumar, 2018</w:t>
      </w:r>
      <w:r w:rsidR="005A217A">
        <w:rPr>
          <w:u w:val="double"/>
        </w:rPr>
        <w:t>;</w:t>
      </w:r>
      <w:r w:rsidR="003E2F9A" w:rsidRPr="00380F6B">
        <w:rPr>
          <w:u w:val="double"/>
        </w:rPr>
        <w:t xml:space="preserve"> </w:t>
      </w:r>
      <w:r w:rsidR="00AC66E4">
        <w:rPr>
          <w:u w:val="double"/>
        </w:rPr>
        <w:t>Oberste</w:t>
      </w:r>
      <w:r w:rsidR="004F69FF">
        <w:rPr>
          <w:u w:val="double"/>
        </w:rPr>
        <w:t xml:space="preserve"> </w:t>
      </w:r>
      <w:r w:rsidR="004F69FF" w:rsidRPr="00AC66E4">
        <w:rPr>
          <w:i/>
          <w:u w:val="double"/>
        </w:rPr>
        <w:t>et al.,</w:t>
      </w:r>
      <w:r w:rsidR="004F69FF" w:rsidRPr="00380F6B">
        <w:rPr>
          <w:u w:val="double"/>
        </w:rPr>
        <w:t xml:space="preserve"> </w:t>
      </w:r>
      <w:r w:rsidR="00AC66E4">
        <w:rPr>
          <w:u w:val="double"/>
        </w:rPr>
        <w:t>1999;</w:t>
      </w:r>
      <w:r w:rsidR="00AC66E4" w:rsidRPr="00380F6B">
        <w:rPr>
          <w:u w:val="double"/>
        </w:rPr>
        <w:t xml:space="preserve"> Salimi</w:t>
      </w:r>
      <w:r w:rsidR="004F69FF">
        <w:rPr>
          <w:u w:val="double"/>
        </w:rPr>
        <w:t xml:space="preserve"> </w:t>
      </w:r>
      <w:r w:rsidR="004F69FF" w:rsidRPr="00AC66E4">
        <w:rPr>
          <w:i/>
          <w:u w:val="double"/>
        </w:rPr>
        <w:t>et al.,</w:t>
      </w:r>
      <w:r w:rsidR="004F69FF" w:rsidRPr="00380F6B">
        <w:rPr>
          <w:u w:val="double"/>
        </w:rPr>
        <w:t xml:space="preserve"> </w:t>
      </w:r>
      <w:r w:rsidR="00AC66E4" w:rsidRPr="00380F6B">
        <w:rPr>
          <w:u w:val="double"/>
        </w:rPr>
        <w:t>2016</w:t>
      </w:r>
      <w:r w:rsidR="00AC66E4">
        <w:rPr>
          <w:u w:val="double"/>
        </w:rPr>
        <w:t>;</w:t>
      </w:r>
      <w:r w:rsidR="00AC66E4" w:rsidRPr="00380F6B">
        <w:rPr>
          <w:u w:val="double"/>
        </w:rPr>
        <w:t xml:space="preserve"> Sneider</w:t>
      </w:r>
      <w:r w:rsidR="004F69FF">
        <w:rPr>
          <w:u w:val="double"/>
        </w:rPr>
        <w:t xml:space="preserve"> </w:t>
      </w:r>
      <w:r w:rsidR="004F69FF" w:rsidRPr="00AC66E4">
        <w:rPr>
          <w:i/>
          <w:u w:val="double"/>
        </w:rPr>
        <w:t>et al.,</w:t>
      </w:r>
      <w:r w:rsidR="00AC66E4" w:rsidRPr="00380F6B">
        <w:rPr>
          <w:u w:val="double"/>
        </w:rPr>
        <w:t xml:space="preserve"> 1993</w:t>
      </w:r>
      <w:r w:rsidR="00AC66E4">
        <w:rPr>
          <w:u w:val="double"/>
        </w:rPr>
        <w:t>;</w:t>
      </w:r>
      <w:r w:rsidR="00AC66E4" w:rsidRPr="00380F6B">
        <w:rPr>
          <w:u w:val="double"/>
        </w:rPr>
        <w:t xml:space="preserve"> </w:t>
      </w:r>
      <w:r w:rsidR="003E2F9A" w:rsidRPr="00380F6B">
        <w:rPr>
          <w:u w:val="double"/>
        </w:rPr>
        <w:t>Wang</w:t>
      </w:r>
      <w:r w:rsidR="004F69FF" w:rsidRPr="004F69FF">
        <w:rPr>
          <w:i/>
          <w:u w:val="double"/>
        </w:rPr>
        <w:t xml:space="preserve"> </w:t>
      </w:r>
      <w:r w:rsidR="004F69FF" w:rsidRPr="00AC66E4">
        <w:rPr>
          <w:i/>
          <w:u w:val="double"/>
        </w:rPr>
        <w:t>et al.,</w:t>
      </w:r>
      <w:r w:rsidR="004F69FF" w:rsidRPr="00380F6B">
        <w:rPr>
          <w:u w:val="double"/>
        </w:rPr>
        <w:t xml:space="preserve"> </w:t>
      </w:r>
      <w:r w:rsidR="003E2F9A" w:rsidRPr="00380F6B">
        <w:rPr>
          <w:u w:val="double"/>
        </w:rPr>
        <w:t>1999</w:t>
      </w:r>
      <w:r w:rsidR="005A217A">
        <w:rPr>
          <w:u w:val="double"/>
        </w:rPr>
        <w:t>;</w:t>
      </w:r>
      <w:r w:rsidR="003E2F9A" w:rsidRPr="00380F6B">
        <w:rPr>
          <w:u w:val="double"/>
        </w:rPr>
        <w:t xml:space="preserve"> </w:t>
      </w:r>
      <w:r w:rsidR="00AC66E4" w:rsidRPr="00380F6B">
        <w:rPr>
          <w:u w:val="double"/>
        </w:rPr>
        <w:t>Weaver</w:t>
      </w:r>
      <w:r w:rsidR="004F69FF" w:rsidRPr="004F69FF">
        <w:rPr>
          <w:i/>
          <w:u w:val="double"/>
        </w:rPr>
        <w:t xml:space="preserve"> </w:t>
      </w:r>
      <w:r w:rsidR="004F69FF" w:rsidRPr="00AC66E4">
        <w:rPr>
          <w:i/>
          <w:u w:val="double"/>
        </w:rPr>
        <w:t>et al.,</w:t>
      </w:r>
      <w:r w:rsidR="004F69FF" w:rsidRPr="00380F6B">
        <w:rPr>
          <w:u w:val="double"/>
        </w:rPr>
        <w:t xml:space="preserve"> </w:t>
      </w:r>
      <w:r w:rsidR="00AC66E4" w:rsidRPr="00380F6B">
        <w:rPr>
          <w:u w:val="double"/>
        </w:rPr>
        <w:t>1999</w:t>
      </w:r>
      <w:r w:rsidR="00AC66E4">
        <w:rPr>
          <w:u w:val="double"/>
        </w:rPr>
        <w:t xml:space="preserve">; </w:t>
      </w:r>
      <w:r w:rsidR="003E2F9A" w:rsidRPr="00380F6B">
        <w:rPr>
          <w:u w:val="double"/>
        </w:rPr>
        <w:t>Zehmer</w:t>
      </w:r>
      <w:r w:rsidR="00294D56">
        <w:rPr>
          <w:u w:val="double"/>
        </w:rPr>
        <w:t xml:space="preserve"> </w:t>
      </w:r>
      <w:r w:rsidR="00294D56" w:rsidRPr="00294D56">
        <w:rPr>
          <w:i/>
          <w:iCs/>
          <w:u w:val="double"/>
        </w:rPr>
        <w:t>et al.</w:t>
      </w:r>
      <w:r w:rsidR="003E2F9A" w:rsidRPr="00294D56">
        <w:rPr>
          <w:i/>
          <w:iCs/>
          <w:u w:val="double"/>
        </w:rPr>
        <w:t>,</w:t>
      </w:r>
      <w:r w:rsidR="003E2F9A" w:rsidRPr="00380F6B">
        <w:rPr>
          <w:u w:val="double"/>
        </w:rPr>
        <w:t xml:space="preserve"> 1974)</w:t>
      </w:r>
      <w:r w:rsidR="00903765" w:rsidRPr="00380F6B">
        <w:rPr>
          <w:u w:val="double"/>
        </w:rPr>
        <w:t>.</w:t>
      </w:r>
      <w:r w:rsidR="000C7675" w:rsidRPr="00AC66E4">
        <w:t xml:space="preserve"> </w:t>
      </w:r>
      <w:r w:rsidR="001B68A1" w:rsidRPr="00380F6B">
        <w:rPr>
          <w:strike/>
        </w:rPr>
        <w:t xml:space="preserve">EEE has been diagnosed in Quebec and Ontario in Canada, </w:t>
      </w:r>
      <w:r w:rsidR="005B6253" w:rsidRPr="00380F6B">
        <w:rPr>
          <w:strike/>
        </w:rPr>
        <w:t>central and e</w:t>
      </w:r>
      <w:r w:rsidR="001B68A1" w:rsidRPr="00380F6B">
        <w:rPr>
          <w:strike/>
        </w:rPr>
        <w:t>ast</w:t>
      </w:r>
      <w:r w:rsidR="005B6253" w:rsidRPr="00380F6B">
        <w:rPr>
          <w:strike/>
        </w:rPr>
        <w:t>ern regions of the</w:t>
      </w:r>
      <w:r w:rsidR="001B68A1" w:rsidRPr="00380F6B">
        <w:rPr>
          <w:strike/>
        </w:rPr>
        <w:t xml:space="preserve"> United States of America (USA), the Caribbean Islands, Mexico, and Central and South America.</w:t>
      </w:r>
      <w:r w:rsidR="000D432B" w:rsidRPr="00380F6B">
        <w:rPr>
          <w:strike/>
        </w:rPr>
        <w:t xml:space="preserve"> </w:t>
      </w:r>
      <w:r w:rsidR="00165AD0" w:rsidRPr="00380F6B">
        <w:rPr>
          <w:strike/>
        </w:rPr>
        <w:t>The South American strains of EEE, previously known as lineages II, III, and IV, are now known as Madariaga virus (Arrigo</w:t>
      </w:r>
      <w:r w:rsidR="00B608BF" w:rsidRPr="00380F6B">
        <w:rPr>
          <w:strike/>
        </w:rPr>
        <w:t>,</w:t>
      </w:r>
      <w:r w:rsidR="00165AD0" w:rsidRPr="00380F6B">
        <w:rPr>
          <w:strike/>
        </w:rPr>
        <w:t xml:space="preserve"> 2010) after strains causing outbreaks in Darien, Panama in 2010 (Carrera</w:t>
      </w:r>
      <w:r w:rsidR="00B608BF" w:rsidRPr="00380F6B">
        <w:rPr>
          <w:strike/>
        </w:rPr>
        <w:t>,</w:t>
      </w:r>
      <w:r w:rsidR="00165AD0" w:rsidRPr="00380F6B">
        <w:rPr>
          <w:strike/>
        </w:rPr>
        <w:t xml:space="preserve"> 2013) led to</w:t>
      </w:r>
      <w:r w:rsidR="00B608BF" w:rsidRPr="00380F6B">
        <w:rPr>
          <w:strike/>
        </w:rPr>
        <w:t xml:space="preserve"> the</w:t>
      </w:r>
      <w:r w:rsidR="00165AD0" w:rsidRPr="00380F6B">
        <w:rPr>
          <w:strike/>
        </w:rPr>
        <w:t xml:space="preserve"> re-evaluation of viral sequencing and reclassification</w:t>
      </w:r>
      <w:r w:rsidR="00B608BF" w:rsidRPr="00380F6B">
        <w:rPr>
          <w:strike/>
        </w:rPr>
        <w:t xml:space="preserve"> of the virus strains</w:t>
      </w:r>
      <w:r w:rsidR="00165AD0" w:rsidRPr="00380F6B">
        <w:rPr>
          <w:strike/>
        </w:rPr>
        <w:t>.</w:t>
      </w:r>
      <w:r w:rsidR="00165AD0" w:rsidRPr="00380F6B">
        <w:t xml:space="preserve"> </w:t>
      </w:r>
    </w:p>
    <w:p w14:paraId="0A357734" w14:textId="2D2C97E5" w:rsidR="001B68A1" w:rsidRDefault="001B68A1" w:rsidP="005D7229">
      <w:pPr>
        <w:pStyle w:val="paraA0"/>
        <w:rPr>
          <w:strike/>
        </w:rPr>
      </w:pPr>
      <w:r w:rsidRPr="00380F6B">
        <w:rPr>
          <w:strike/>
        </w:rPr>
        <w:t>Disease caused by the WEE virus has been reported in the western USA and Canada, Mexico, and Central and South America (</w:t>
      </w:r>
      <w:r w:rsidR="00E23CBC" w:rsidRPr="00380F6B">
        <w:rPr>
          <w:strike/>
        </w:rPr>
        <w:t>Morris, 1989</w:t>
      </w:r>
      <w:r w:rsidR="00144CF3" w:rsidRPr="00380F6B">
        <w:rPr>
          <w:strike/>
        </w:rPr>
        <w:t>;</w:t>
      </w:r>
      <w:r w:rsidRPr="00380F6B">
        <w:rPr>
          <w:strike/>
        </w:rPr>
        <w:t xml:space="preserve"> </w:t>
      </w:r>
      <w:r w:rsidR="00E23CBC" w:rsidRPr="00380F6B">
        <w:rPr>
          <w:strike/>
          <w:lang w:val="de-DE"/>
        </w:rPr>
        <w:t>Reisen &amp; Monath, 1989</w:t>
      </w:r>
      <w:r w:rsidR="00144CF3" w:rsidRPr="00380F6B">
        <w:rPr>
          <w:strike/>
        </w:rPr>
        <w:t>;</w:t>
      </w:r>
      <w:r w:rsidRPr="00380F6B">
        <w:rPr>
          <w:strike/>
        </w:rPr>
        <w:t xml:space="preserve"> </w:t>
      </w:r>
      <w:r w:rsidR="001517EB" w:rsidRPr="00380F6B">
        <w:rPr>
          <w:strike/>
        </w:rPr>
        <w:t xml:space="preserve">Walton </w:t>
      </w:r>
      <w:r w:rsidR="00E23CBC" w:rsidRPr="00380F6B">
        <w:rPr>
          <w:i/>
          <w:strike/>
        </w:rPr>
        <w:t>et al</w:t>
      </w:r>
      <w:r w:rsidR="001517EB" w:rsidRPr="00380F6B">
        <w:rPr>
          <w:strike/>
        </w:rPr>
        <w:t>., 1981</w:t>
      </w:r>
      <w:r w:rsidRPr="00380F6B">
        <w:rPr>
          <w:strike/>
        </w:rPr>
        <w:t xml:space="preserve">). </w:t>
      </w:r>
      <w:r w:rsidR="00A6657C" w:rsidRPr="00380F6B">
        <w:rPr>
          <w:strike/>
        </w:rPr>
        <w:t>Highlands </w:t>
      </w:r>
      <w:r w:rsidRPr="00380F6B">
        <w:rPr>
          <w:strike/>
        </w:rPr>
        <w:t xml:space="preserve">J virus, antigenically related to WEE virus, has been isolated in eastern USA. Although </w:t>
      </w:r>
      <w:r w:rsidR="005B6253" w:rsidRPr="00380F6B">
        <w:rPr>
          <w:strike/>
        </w:rPr>
        <w:t>Highlands</w:t>
      </w:r>
      <w:r w:rsidR="00A6657C" w:rsidRPr="00380F6B">
        <w:rPr>
          <w:strike/>
        </w:rPr>
        <w:t> </w:t>
      </w:r>
      <w:r w:rsidR="005B6253" w:rsidRPr="00380F6B">
        <w:rPr>
          <w:strike/>
        </w:rPr>
        <w:t>J virus</w:t>
      </w:r>
      <w:r w:rsidRPr="00380F6B">
        <w:rPr>
          <w:strike/>
        </w:rPr>
        <w:t xml:space="preserve"> is generally believed not to cause disease in mammals, it has been isolated from the brain of a horse </w:t>
      </w:r>
      <w:r w:rsidR="00C02492" w:rsidRPr="00380F6B">
        <w:rPr>
          <w:strike/>
        </w:rPr>
        <w:t xml:space="preserve">in Florida </w:t>
      </w:r>
      <w:r w:rsidRPr="00380F6B">
        <w:rPr>
          <w:strike/>
        </w:rPr>
        <w:t>dying of encephalitis (</w:t>
      </w:r>
      <w:r w:rsidR="00144CF3" w:rsidRPr="00380F6B">
        <w:rPr>
          <w:strike/>
        </w:rPr>
        <w:t xml:space="preserve">Karabatsos </w:t>
      </w:r>
      <w:r w:rsidR="00E23CBC" w:rsidRPr="00380F6B">
        <w:rPr>
          <w:i/>
          <w:strike/>
        </w:rPr>
        <w:t>et al</w:t>
      </w:r>
      <w:r w:rsidR="00144CF3" w:rsidRPr="00380F6B">
        <w:rPr>
          <w:strike/>
        </w:rPr>
        <w:t>., 1988</w:t>
      </w:r>
      <w:r w:rsidRPr="00380F6B">
        <w:rPr>
          <w:strike/>
        </w:rPr>
        <w:t>).</w:t>
      </w:r>
    </w:p>
    <w:p w14:paraId="79DDA42F" w14:textId="759CF1A6" w:rsidR="00F974A7" w:rsidRPr="00092FC6" w:rsidRDefault="00F974A7" w:rsidP="00F974A7">
      <w:pPr>
        <w:pStyle w:val="paraA0"/>
        <w:spacing w:line="200" w:lineRule="exact"/>
      </w:pPr>
      <w:r w:rsidRPr="00092FC6">
        <w:t xml:space="preserve">The clinical signs of EEE, WEE and VEE can be identical. The disease caused by </w:t>
      </w:r>
      <w:r w:rsidRPr="00380F6B">
        <w:rPr>
          <w:strike/>
        </w:rPr>
        <w:t>either</w:t>
      </w:r>
      <w:r w:rsidRPr="00380F6B">
        <w:t xml:space="preserve"> </w:t>
      </w:r>
      <w:r w:rsidR="00B634B9" w:rsidRPr="00380F6B">
        <w:rPr>
          <w:u w:val="double"/>
        </w:rPr>
        <w:t>any of the three</w:t>
      </w:r>
      <w:r w:rsidR="00B634B9" w:rsidRPr="00380F6B">
        <w:t xml:space="preserve"> </w:t>
      </w:r>
      <w:r w:rsidRPr="00380F6B">
        <w:t>virus</w:t>
      </w:r>
      <w:r w:rsidR="00B634B9" w:rsidRPr="00380F6B">
        <w:rPr>
          <w:u w:val="double"/>
        </w:rPr>
        <w:t>es</w:t>
      </w:r>
      <w:r w:rsidRPr="00092FC6">
        <w:t xml:space="preserve"> is also known as sleeping sickness. Following an incubation period of </w:t>
      </w:r>
      <w:r w:rsidRPr="005A217A">
        <w:rPr>
          <w:strike/>
        </w:rPr>
        <w:t>5</w:t>
      </w:r>
      <w:r w:rsidR="00AC66E4">
        <w:rPr>
          <w:strike/>
        </w:rPr>
        <w:t xml:space="preserve"> </w:t>
      </w:r>
      <w:r w:rsidR="003D7391">
        <w:rPr>
          <w:u w:val="double"/>
        </w:rPr>
        <w:t>1</w:t>
      </w:r>
      <w:r w:rsidRPr="00092FC6">
        <w:t>–14 days,</w:t>
      </w:r>
      <w:r w:rsidR="005A217A">
        <w:t xml:space="preserve"> </w:t>
      </w:r>
      <w:r w:rsidR="005A217A" w:rsidRPr="005A217A">
        <w:rPr>
          <w:u w:val="double"/>
        </w:rPr>
        <w:t>depending on the virus</w:t>
      </w:r>
      <w:r w:rsidR="00A36EE1">
        <w:rPr>
          <w:u w:val="double"/>
        </w:rPr>
        <w:t xml:space="preserve"> and strain</w:t>
      </w:r>
      <w:r w:rsidR="005A217A" w:rsidRPr="005A217A">
        <w:rPr>
          <w:u w:val="double"/>
        </w:rPr>
        <w:t>,</w:t>
      </w:r>
      <w:r w:rsidRPr="00092FC6">
        <w:t xml:space="preserve"> clinical signs include fever, anorexia, and depression. A presumptive diagnosis of equine viral encephalomyelitis in unvaccinated horses can be made if the characteristic somnolence is observed during the summer in temperate climates or the wet season in tropical and subtropical climates, when the mosquito vector is plentiful. However, a number of other diseases, such as West Nile virus (Chapter 3.1.24), rabies (Chapter 3.1.17)</w:t>
      </w:r>
      <w:r w:rsidRPr="00092FC6">
        <w:rPr>
          <w:i/>
        </w:rPr>
        <w:t>,</w:t>
      </w:r>
      <w:r w:rsidRPr="00092FC6">
        <w:t xml:space="preserve"> and other infectious, parasitic, or non-infectious agents can produce similar clinical signs and the diagnosis must be confirmed by the described diagnostic test methods.</w:t>
      </w:r>
    </w:p>
    <w:p w14:paraId="5E519E4E" w14:textId="2184976B" w:rsidR="00C25CF5" w:rsidRDefault="00F974A7" w:rsidP="00F974A7">
      <w:pPr>
        <w:pStyle w:val="paraA0"/>
      </w:pPr>
      <w:r w:rsidRPr="00380F6B">
        <w:lastRenderedPageBreak/>
        <w:t xml:space="preserve">EEE virus causes severe disease in humans with a mortality rate of 30–70% and a high frequency of permanent </w:t>
      </w:r>
      <w:r w:rsidR="00C421B8" w:rsidRPr="00380F6B">
        <w:rPr>
          <w:u w:val="double"/>
        </w:rPr>
        <w:t>neurological</w:t>
      </w:r>
      <w:r w:rsidR="00903765" w:rsidRPr="00380F6B">
        <w:t xml:space="preserve"> </w:t>
      </w:r>
      <w:r w:rsidRPr="00380F6B">
        <w:t xml:space="preserve">sequelae in patients who survive. </w:t>
      </w:r>
      <w:r w:rsidRPr="00380F6B">
        <w:rPr>
          <w:u w:val="double"/>
        </w:rPr>
        <w:t>The North American variant is</w:t>
      </w:r>
      <w:r w:rsidR="00C421B8" w:rsidRPr="00380F6B">
        <w:rPr>
          <w:u w:val="double"/>
        </w:rPr>
        <w:t xml:space="preserve"> considered to be </w:t>
      </w:r>
      <w:r w:rsidRPr="00380F6B">
        <w:rPr>
          <w:u w:val="double"/>
        </w:rPr>
        <w:t>more pathogenic than South American strains (Madariaga virus)</w:t>
      </w:r>
      <w:r w:rsidR="00C421B8" w:rsidRPr="00380F6B">
        <w:rPr>
          <w:u w:val="double"/>
        </w:rPr>
        <w:t xml:space="preserve"> (Kumar</w:t>
      </w:r>
      <w:r w:rsidR="00DA61B3">
        <w:rPr>
          <w:u w:val="double"/>
        </w:rPr>
        <w:t xml:space="preserve"> </w:t>
      </w:r>
      <w:r w:rsidR="00DA61B3" w:rsidRPr="00AC66E4">
        <w:rPr>
          <w:i/>
          <w:u w:val="double"/>
        </w:rPr>
        <w:t>et al.,</w:t>
      </w:r>
      <w:r w:rsidR="00C421B8" w:rsidRPr="00380F6B">
        <w:rPr>
          <w:u w:val="double"/>
        </w:rPr>
        <w:t xml:space="preserve"> 2018)</w:t>
      </w:r>
      <w:r w:rsidR="00380F6B" w:rsidRPr="00380F6B">
        <w:rPr>
          <w:u w:val="double"/>
        </w:rPr>
        <w:t>.</w:t>
      </w:r>
      <w:r>
        <w:t xml:space="preserve"> </w:t>
      </w:r>
      <w:r w:rsidR="004B6F67" w:rsidRPr="00092FC6">
        <w:t xml:space="preserve">EEE virus has been reported to cause disease in </w:t>
      </w:r>
      <w:r w:rsidR="004B6F67">
        <w:rPr>
          <w:u w:val="double"/>
        </w:rPr>
        <w:t>mammals other than equines and humans, including</w:t>
      </w:r>
      <w:r w:rsidR="004B6F67" w:rsidRPr="00AC66E4">
        <w:t xml:space="preserve"> </w:t>
      </w:r>
      <w:r w:rsidR="004B6F67" w:rsidRPr="00092FC6">
        <w:t xml:space="preserve">cows (McGee </w:t>
      </w:r>
      <w:r w:rsidR="004B6F67" w:rsidRPr="00092FC6">
        <w:rPr>
          <w:i/>
        </w:rPr>
        <w:t>et al</w:t>
      </w:r>
      <w:r w:rsidR="004B6F67" w:rsidRPr="00092FC6">
        <w:t xml:space="preserve">., 1992; Pursell </w:t>
      </w:r>
      <w:r w:rsidR="004B6F67" w:rsidRPr="00092FC6">
        <w:rPr>
          <w:i/>
        </w:rPr>
        <w:t>et al</w:t>
      </w:r>
      <w:r w:rsidR="004B6F67" w:rsidRPr="00092FC6">
        <w:t>., 1976), sheep (</w:t>
      </w:r>
      <w:r w:rsidR="004B6F67" w:rsidRPr="00092FC6">
        <w:rPr>
          <w:lang w:val="de-DE"/>
        </w:rPr>
        <w:t xml:space="preserve">Bauer </w:t>
      </w:r>
      <w:r w:rsidR="004B6F67" w:rsidRPr="00092FC6">
        <w:rPr>
          <w:i/>
          <w:lang w:val="de-DE"/>
        </w:rPr>
        <w:t>et al</w:t>
      </w:r>
      <w:r w:rsidR="004B6F67" w:rsidRPr="00092FC6">
        <w:rPr>
          <w:lang w:val="de-DE"/>
        </w:rPr>
        <w:t>., 2005</w:t>
      </w:r>
      <w:r w:rsidR="004B6F67" w:rsidRPr="00092FC6">
        <w:t xml:space="preserve">), pigs (Elvinger </w:t>
      </w:r>
      <w:r w:rsidR="004B6F67" w:rsidRPr="00092FC6">
        <w:rPr>
          <w:i/>
        </w:rPr>
        <w:t>et al</w:t>
      </w:r>
      <w:r w:rsidR="004B6F67" w:rsidRPr="00092FC6">
        <w:t xml:space="preserve">., 1996), white-tailed deer (Tate </w:t>
      </w:r>
      <w:r w:rsidR="004B6F67" w:rsidRPr="00092FC6">
        <w:rPr>
          <w:i/>
        </w:rPr>
        <w:t>et al</w:t>
      </w:r>
      <w:r w:rsidR="004B6F67" w:rsidRPr="00092FC6">
        <w:t xml:space="preserve">., 2005), and dogs (Farrar </w:t>
      </w:r>
      <w:r w:rsidR="004B6F67" w:rsidRPr="00092FC6">
        <w:rPr>
          <w:i/>
        </w:rPr>
        <w:t>et al</w:t>
      </w:r>
      <w:r w:rsidR="004B6F67" w:rsidRPr="00092FC6">
        <w:t xml:space="preserve">., 2005). </w:t>
      </w:r>
      <w:r w:rsidRPr="00380F6B">
        <w:rPr>
          <w:strike/>
        </w:rPr>
        <w:t xml:space="preserve">WEE is usually mild in adult humans, but can be a severe disease in children. The fatality rate is between 3 and 14%. </w:t>
      </w:r>
      <w:r w:rsidR="000B154F" w:rsidRPr="00380F6B">
        <w:rPr>
          <w:strike/>
        </w:rPr>
        <w:t>WEE virus infection in horses has been observed over a wide geographical area, e.g. sporadic cases over 2590 km</w:t>
      </w:r>
      <w:r w:rsidR="000B154F" w:rsidRPr="00380F6B">
        <w:rPr>
          <w:strike/>
          <w:szCs w:val="14"/>
          <w:vertAlign w:val="superscript"/>
        </w:rPr>
        <w:t xml:space="preserve">2 </w:t>
      </w:r>
      <w:r w:rsidR="000B154F" w:rsidRPr="00380F6B">
        <w:rPr>
          <w:strike/>
        </w:rPr>
        <w:t>(1000 square miles)</w:t>
      </w:r>
      <w:r w:rsidR="00380F6B" w:rsidRPr="00380F6B">
        <w:rPr>
          <w:strike/>
        </w:rPr>
        <w:t>, h</w:t>
      </w:r>
      <w:r w:rsidR="000B154F" w:rsidRPr="00380F6B">
        <w:rPr>
          <w:strike/>
        </w:rPr>
        <w:t>owever</w:t>
      </w:r>
      <w:r w:rsidR="00380F6B" w:rsidRPr="00380F6B">
        <w:rPr>
          <w:strike/>
        </w:rPr>
        <w:t>,</w:t>
      </w:r>
      <w:r w:rsidR="000B154F" w:rsidRPr="00380F6B">
        <w:rPr>
          <w:strike/>
        </w:rPr>
        <w:t xml:space="preserve"> no disease outbreaks attributed to WEE have occurred since 1999. </w:t>
      </w:r>
      <w:r w:rsidR="000B154F" w:rsidRPr="00092FC6">
        <w:t xml:space="preserve">EEE virus infections are usually observed in limited geographical areas. </w:t>
      </w:r>
      <w:r w:rsidR="00380F6B" w:rsidRPr="00380F6B">
        <w:rPr>
          <w:u w:val="double"/>
        </w:rPr>
        <w:t xml:space="preserve">WEE is usually mild in adult humans, but can be a severe disease in children. The fatality rate is between 3 and 14%. WEE virus infection in horses has </w:t>
      </w:r>
      <w:r w:rsidR="00A36EE1">
        <w:rPr>
          <w:u w:val="double"/>
        </w:rPr>
        <w:t xml:space="preserve">historically </w:t>
      </w:r>
      <w:r w:rsidR="00380F6B" w:rsidRPr="00380F6B">
        <w:rPr>
          <w:u w:val="double"/>
        </w:rPr>
        <w:t>been observed over a wide geographical area, e.g. sporadic cases over 2590 km</w:t>
      </w:r>
      <w:r w:rsidR="00380F6B" w:rsidRPr="00380F6B">
        <w:rPr>
          <w:szCs w:val="14"/>
          <w:u w:val="double"/>
          <w:vertAlign w:val="superscript"/>
        </w:rPr>
        <w:t xml:space="preserve">2 </w:t>
      </w:r>
      <w:r w:rsidR="00380F6B" w:rsidRPr="00380F6B">
        <w:rPr>
          <w:u w:val="double"/>
        </w:rPr>
        <w:t>(1000 square miles), however, no disease outbreaks attributed to WEE have occurred since 1999.</w:t>
      </w:r>
      <w:r w:rsidR="00380F6B" w:rsidRPr="00092FC6">
        <w:t xml:space="preserve"> </w:t>
      </w:r>
      <w:r w:rsidR="000B154F" w:rsidRPr="004B6F67">
        <w:rPr>
          <w:strike/>
        </w:rPr>
        <w:t>Isolated events of high mortality in captive-raised game birds, primarily pheasants, chukars, aquarium penguins, and</w:t>
      </w:r>
      <w:r w:rsidR="00380F6B" w:rsidRPr="004B6F67">
        <w:rPr>
          <w:strike/>
        </w:rPr>
        <w:t xml:space="preserve"> quail have been traced to </w:t>
      </w:r>
      <w:r w:rsidR="00380F6B" w:rsidRPr="004B6F67">
        <w:rPr>
          <w:strike/>
          <w:u w:val="double"/>
        </w:rPr>
        <w:t>E</w:t>
      </w:r>
      <w:r w:rsidR="00842BCB" w:rsidRPr="004B6F67">
        <w:rPr>
          <w:strike/>
          <w:u w:val="double"/>
        </w:rPr>
        <w:t>EE</w:t>
      </w:r>
      <w:r w:rsidR="00380F6B" w:rsidRPr="004B6F67">
        <w:rPr>
          <w:strike/>
          <w:u w:val="double"/>
        </w:rPr>
        <w:t>,</w:t>
      </w:r>
      <w:r w:rsidR="00842BCB" w:rsidRPr="004B6F67">
        <w:rPr>
          <w:strike/>
          <w:u w:val="double"/>
        </w:rPr>
        <w:t xml:space="preserve"> </w:t>
      </w:r>
      <w:r w:rsidR="00380F6B" w:rsidRPr="004B6F67">
        <w:rPr>
          <w:strike/>
          <w:u w:val="double"/>
        </w:rPr>
        <w:t>W</w:t>
      </w:r>
      <w:r w:rsidR="000B154F" w:rsidRPr="004B6F67">
        <w:rPr>
          <w:strike/>
          <w:u w:val="double"/>
        </w:rPr>
        <w:t>EE</w:t>
      </w:r>
      <w:r w:rsidR="000B154F" w:rsidRPr="004B6F67">
        <w:rPr>
          <w:strike/>
        </w:rPr>
        <w:t xml:space="preserve">, or Highlands J virus infection (Morris, 1989; </w:t>
      </w:r>
      <w:r w:rsidR="000B154F" w:rsidRPr="004B6F67">
        <w:rPr>
          <w:strike/>
          <w:lang w:val="de-DE"/>
        </w:rPr>
        <w:t>Reisen &amp; Monath, 1989</w:t>
      </w:r>
      <w:r w:rsidR="000B154F" w:rsidRPr="004B6F67">
        <w:rPr>
          <w:strike/>
        </w:rPr>
        <w:t xml:space="preserve">; Tuttle </w:t>
      </w:r>
      <w:r w:rsidR="000B154F" w:rsidRPr="004B6F67">
        <w:rPr>
          <w:i/>
          <w:strike/>
        </w:rPr>
        <w:t>et al</w:t>
      </w:r>
      <w:r w:rsidR="000B154F" w:rsidRPr="004B6F67">
        <w:rPr>
          <w:strike/>
        </w:rPr>
        <w:t>., 2005).</w:t>
      </w:r>
      <w:r w:rsidR="000B154F" w:rsidRPr="00092FC6">
        <w:t xml:space="preserve"> </w:t>
      </w:r>
    </w:p>
    <w:p w14:paraId="1E5E26AC" w14:textId="7E9AA1BA" w:rsidR="000B154F" w:rsidRDefault="000B154F" w:rsidP="00F974A7">
      <w:pPr>
        <w:pStyle w:val="paraA0"/>
      </w:pPr>
      <w:r w:rsidRPr="00092FC6">
        <w:t>Most encephalomyelitis infections in domestic fowl are caused by EEE virus and occur in the east coast states of the USA</w:t>
      </w:r>
      <w:r>
        <w:t>.</w:t>
      </w:r>
      <w:r w:rsidR="004B6F67" w:rsidRPr="004B6F67">
        <w:t xml:space="preserve"> </w:t>
      </w:r>
      <w:r w:rsidR="004B6F67" w:rsidRPr="004B6F67">
        <w:rPr>
          <w:u w:val="double"/>
        </w:rPr>
        <w:t xml:space="preserve">Isolated events of high mortality in captive-raised game birds, primarily pheasants, chukars, aquarium penguins, and quail have been traced to EEE, WEE, or Highlands J virus infection (Morris, 1989; </w:t>
      </w:r>
      <w:r w:rsidR="004B6F67" w:rsidRPr="004B6F67">
        <w:rPr>
          <w:u w:val="double"/>
          <w:lang w:val="de-DE"/>
        </w:rPr>
        <w:t>Reisen &amp; Monath, 1989</w:t>
      </w:r>
      <w:r w:rsidR="004B6F67" w:rsidRPr="004B6F67">
        <w:rPr>
          <w:u w:val="double"/>
        </w:rPr>
        <w:t xml:space="preserve">; Tuttle </w:t>
      </w:r>
      <w:r w:rsidR="004B6F67" w:rsidRPr="004B6F67">
        <w:rPr>
          <w:i/>
          <w:u w:val="double"/>
        </w:rPr>
        <w:t>et al</w:t>
      </w:r>
      <w:r w:rsidR="004B6F67" w:rsidRPr="004B6F67">
        <w:rPr>
          <w:u w:val="double"/>
        </w:rPr>
        <w:t>., 2005)</w:t>
      </w:r>
      <w:r w:rsidR="00903765">
        <w:rPr>
          <w:u w:val="double"/>
        </w:rPr>
        <w:t xml:space="preserve">. </w:t>
      </w:r>
      <w:r w:rsidR="004B6F67" w:rsidRPr="004B6F67">
        <w:rPr>
          <w:u w:val="double"/>
        </w:rPr>
        <w:t>Alt</w:t>
      </w:r>
      <w:r w:rsidRPr="004B6F67">
        <w:rPr>
          <w:u w:val="double"/>
        </w:rPr>
        <w:t>hough</w:t>
      </w:r>
      <w:r w:rsidRPr="004B6F67">
        <w:t xml:space="preserve"> </w:t>
      </w:r>
      <w:r w:rsidRPr="004B6F67">
        <w:rPr>
          <w:strike/>
        </w:rPr>
        <w:t xml:space="preserve">the </w:t>
      </w:r>
      <w:r w:rsidRPr="00092FC6">
        <w:t xml:space="preserve">virus </w:t>
      </w:r>
      <w:r>
        <w:t>is introduced by mosquitoes,</w:t>
      </w:r>
      <w:r w:rsidRPr="00092FC6">
        <w:t xml:space="preserve"> transmission within the flocks is primarily by feather picking and </w:t>
      </w:r>
      <w:r w:rsidRPr="004B6F67">
        <w:t>cannibalism</w:t>
      </w:r>
      <w:r w:rsidR="00842BCB" w:rsidRPr="004B6F67">
        <w:t xml:space="preserve"> (Kumar</w:t>
      </w:r>
      <w:r w:rsidR="004B6F67" w:rsidRPr="004B6F67">
        <w:t xml:space="preserve"> </w:t>
      </w:r>
      <w:r w:rsidR="004B6F67" w:rsidRPr="00E45155">
        <w:rPr>
          <w:i/>
          <w:iCs/>
        </w:rPr>
        <w:t>et al.,</w:t>
      </w:r>
      <w:r w:rsidR="004B6F67" w:rsidRPr="004B6F67">
        <w:t xml:space="preserve"> 201</w:t>
      </w:r>
      <w:r w:rsidR="006F57FE">
        <w:t>8</w:t>
      </w:r>
      <w:r w:rsidR="00B634B9" w:rsidRPr="004B6F67">
        <w:t>)</w:t>
      </w:r>
      <w:r w:rsidRPr="004B6F67">
        <w:t>.</w:t>
      </w:r>
      <w:r w:rsidRPr="00092FC6">
        <w:t xml:space="preserve"> Both EEE and WEE viruses have caused</w:t>
      </w:r>
      <w:r w:rsidRPr="004B6F67">
        <w:rPr>
          <w:strike/>
        </w:rPr>
        <w:t xml:space="preserve"> a </w:t>
      </w:r>
      <w:r w:rsidRPr="00092FC6">
        <w:t xml:space="preserve">fatal disease in ratites. Haemorrhagic enteritis has been observed in emus infected with EEE and WEE viruses, and morbidity and mortality rates may be greater than </w:t>
      </w:r>
      <w:r w:rsidRPr="004B6F67">
        <w:t xml:space="preserve">85%. </w:t>
      </w:r>
      <w:r w:rsidRPr="004B6F67">
        <w:rPr>
          <w:strike/>
        </w:rPr>
        <w:t>Highlands J and</w:t>
      </w:r>
      <w:r w:rsidRPr="004B6F67">
        <w:t xml:space="preserve"> EEE</w:t>
      </w:r>
      <w:r w:rsidR="004B6F67">
        <w:t xml:space="preserve"> </w:t>
      </w:r>
      <w:r w:rsidR="004B6F67" w:rsidRPr="004B6F67">
        <w:rPr>
          <w:u w:val="double"/>
        </w:rPr>
        <w:t>and Highlands J</w:t>
      </w:r>
      <w:r w:rsidRPr="00092FC6">
        <w:t xml:space="preserve"> viruses have been found to produce depression, somnolence, decreased egg production, and increased mortality in turkeys (Guy, 1997). </w:t>
      </w:r>
      <w:r w:rsidRPr="004B6F67">
        <w:rPr>
          <w:strike/>
        </w:rPr>
        <w:t xml:space="preserve">EEE virus has been reported to cause disease in cows (McGee </w:t>
      </w:r>
      <w:r w:rsidRPr="004B6F67">
        <w:rPr>
          <w:i/>
          <w:strike/>
        </w:rPr>
        <w:t>et al</w:t>
      </w:r>
      <w:r w:rsidRPr="004B6F67">
        <w:rPr>
          <w:strike/>
        </w:rPr>
        <w:t xml:space="preserve">., 1992; Pursell </w:t>
      </w:r>
      <w:r w:rsidRPr="004B6F67">
        <w:rPr>
          <w:i/>
          <w:strike/>
        </w:rPr>
        <w:t>et al</w:t>
      </w:r>
      <w:r w:rsidRPr="004B6F67">
        <w:rPr>
          <w:strike/>
        </w:rPr>
        <w:t>., 1976), sheep (</w:t>
      </w:r>
      <w:r w:rsidRPr="004B6F67">
        <w:rPr>
          <w:strike/>
          <w:lang w:val="de-DE"/>
        </w:rPr>
        <w:t xml:space="preserve">Bauer </w:t>
      </w:r>
      <w:r w:rsidRPr="004B6F67">
        <w:rPr>
          <w:i/>
          <w:strike/>
          <w:lang w:val="de-DE"/>
        </w:rPr>
        <w:t>et al</w:t>
      </w:r>
      <w:r w:rsidRPr="004B6F67">
        <w:rPr>
          <w:strike/>
          <w:lang w:val="de-DE"/>
        </w:rPr>
        <w:t>., 2005</w:t>
      </w:r>
      <w:r w:rsidRPr="004B6F67">
        <w:rPr>
          <w:strike/>
        </w:rPr>
        <w:t xml:space="preserve">), pigs (Elvinger </w:t>
      </w:r>
      <w:r w:rsidRPr="004B6F67">
        <w:rPr>
          <w:i/>
          <w:strike/>
        </w:rPr>
        <w:t>et al</w:t>
      </w:r>
      <w:r w:rsidRPr="004B6F67">
        <w:rPr>
          <w:strike/>
        </w:rPr>
        <w:t xml:space="preserve">., 1996), white-tailed deer (Tate </w:t>
      </w:r>
      <w:r w:rsidRPr="004B6F67">
        <w:rPr>
          <w:i/>
          <w:strike/>
        </w:rPr>
        <w:t>et al</w:t>
      </w:r>
      <w:r w:rsidRPr="004B6F67">
        <w:rPr>
          <w:strike/>
        </w:rPr>
        <w:t xml:space="preserve">., 2005), and dogs (Farrar </w:t>
      </w:r>
      <w:r w:rsidRPr="004B6F67">
        <w:rPr>
          <w:i/>
          <w:strike/>
        </w:rPr>
        <w:t>et al</w:t>
      </w:r>
      <w:r w:rsidRPr="004B6F67">
        <w:rPr>
          <w:strike/>
        </w:rPr>
        <w:t>., 2005).</w:t>
      </w:r>
      <w:r w:rsidRPr="00092FC6">
        <w:t xml:space="preserve"> </w:t>
      </w:r>
      <w:r>
        <w:t xml:space="preserve"> </w:t>
      </w:r>
    </w:p>
    <w:p w14:paraId="5B37A9FB" w14:textId="44A201A0" w:rsidR="00F974A7" w:rsidRPr="00E93458" w:rsidRDefault="00F974A7" w:rsidP="00F974A7">
      <w:pPr>
        <w:pStyle w:val="paraA0"/>
        <w:rPr>
          <w:strike/>
        </w:rPr>
      </w:pPr>
      <w:r w:rsidRPr="00E93458">
        <w:rPr>
          <w:strike/>
        </w:rPr>
        <w:t xml:space="preserve">Severe clinical disease and death caused by EEE and WEE viruses have been reported in laboratory workers. </w:t>
      </w:r>
      <w:r w:rsidRPr="00E93458">
        <w:rPr>
          <w:strike/>
          <w:lang w:val="en-IE"/>
        </w:rPr>
        <w:t xml:space="preserve">Laboratory manipulations should be carried out at an appropriate biosafety and containment level determined by </w:t>
      </w:r>
      <w:r w:rsidR="00C421B8" w:rsidRPr="00E93458">
        <w:rPr>
          <w:strike/>
          <w:lang w:val="en-IE"/>
        </w:rPr>
        <w:t>ri</w:t>
      </w:r>
      <w:r w:rsidRPr="00E93458">
        <w:rPr>
          <w:strike/>
          <w:lang w:val="en-IE"/>
        </w:rPr>
        <w:t xml:space="preserve">sk analysis (see Chapter 1.1.4 </w:t>
      </w:r>
      <w:r w:rsidRPr="00E93458">
        <w:rPr>
          <w:i/>
          <w:strike/>
          <w:lang w:val="en-IE"/>
        </w:rPr>
        <w:t xml:space="preserve">Biosafety and biosecurity: </w:t>
      </w:r>
      <w:r w:rsidRPr="00E93458">
        <w:rPr>
          <w:i/>
          <w:iCs/>
          <w:strike/>
        </w:rPr>
        <w:t>Standard for managing biological risk</w:t>
      </w:r>
      <w:r w:rsidRPr="00E93458">
        <w:rPr>
          <w:i/>
          <w:strike/>
        </w:rPr>
        <w:t xml:space="preserve"> in the veterinary laboratory and animal facilities</w:t>
      </w:r>
      <w:r w:rsidRPr="00E93458">
        <w:rPr>
          <w:strike/>
          <w:lang w:val="en-IE"/>
        </w:rPr>
        <w:t xml:space="preserve">). </w:t>
      </w:r>
      <w:r w:rsidRPr="00E93458">
        <w:rPr>
          <w:strike/>
        </w:rPr>
        <w:t>It is recommended that personne</w:t>
      </w:r>
      <w:r w:rsidR="00762FC5" w:rsidRPr="00E93458">
        <w:rPr>
          <w:strike/>
        </w:rPr>
        <w:t xml:space="preserve">l be immunised against EEE and WEE </w:t>
      </w:r>
      <w:r w:rsidRPr="00E93458">
        <w:rPr>
          <w:strike/>
        </w:rPr>
        <w:t>virus</w:t>
      </w:r>
      <w:r w:rsidR="00762FC5" w:rsidRPr="00E93458">
        <w:rPr>
          <w:strike/>
        </w:rPr>
        <w:t>es</w:t>
      </w:r>
      <w:r w:rsidRPr="00E93458">
        <w:rPr>
          <w:strike/>
        </w:rPr>
        <w:t xml:space="preserve"> (United States Department of Health and Human Services, 2009</w:t>
      </w:r>
      <w:r w:rsidR="00762FC5" w:rsidRPr="00E93458">
        <w:rPr>
          <w:strike/>
        </w:rPr>
        <w:t xml:space="preserve">). </w:t>
      </w:r>
      <w:r w:rsidRPr="00E93458">
        <w:rPr>
          <w:strike/>
        </w:rPr>
        <w:t>Precautions should also be taken to prevent human infection when performing post-mortem examinations on horses suspected of being infected with the equine encephalomyelitis viruses.</w:t>
      </w:r>
    </w:p>
    <w:p w14:paraId="1B62593C" w14:textId="260B9B33" w:rsidR="00BD595E" w:rsidRPr="00092FC6" w:rsidRDefault="00BD595E" w:rsidP="005D7229">
      <w:pPr>
        <w:pStyle w:val="paraA0"/>
      </w:pPr>
      <w:r w:rsidRPr="00092FC6">
        <w:t xml:space="preserve">The VEE virus complex is composed of six subtypes (I–VI). Subtype I includes five antigenic variants (AB–F), of which variants I-AB and I-C are associated with epizootic VEE in equids and concurrent epidemics in humans (Calisher </w:t>
      </w:r>
      <w:r w:rsidRPr="00092FC6">
        <w:rPr>
          <w:i/>
        </w:rPr>
        <w:t>et al</w:t>
      </w:r>
      <w:r w:rsidRPr="00092FC6">
        <w:t xml:space="preserve">., 1980; Monath &amp; Trent, 1981; Pan-American Health Organization, 1972; Walton, 1981; Walton </w:t>
      </w:r>
      <w:r w:rsidRPr="00092FC6">
        <w:rPr>
          <w:i/>
        </w:rPr>
        <w:t>et al</w:t>
      </w:r>
      <w:r w:rsidRPr="00092FC6">
        <w:t>., 1973; Walton &amp; Grayson, 1989). Originally, subtypes I-A and I-B were considered to be distinct variants, but they are now considered to be identical (I-AB). The epizootic variants I-AB and I-C are thought to originate from mutations of the enzootic 1-D serotype (</w:t>
      </w:r>
      <w:r w:rsidRPr="00092FC6">
        <w:rPr>
          <w:rFonts w:ascii="Arial (W1)" w:hAnsi="Arial (W1)"/>
        </w:rPr>
        <w:t>Weaver</w:t>
      </w:r>
      <w:r w:rsidRPr="00092FC6">
        <w:t xml:space="preserve"> </w:t>
      </w:r>
      <w:r w:rsidRPr="00092FC6">
        <w:rPr>
          <w:i/>
        </w:rPr>
        <w:t>et al</w:t>
      </w:r>
      <w:r w:rsidRPr="00092FC6">
        <w:t xml:space="preserve">., </w:t>
      </w:r>
      <w:r w:rsidRPr="00092FC6">
        <w:rPr>
          <w:rFonts w:ascii="Arial (W1)" w:hAnsi="Arial (W1)"/>
        </w:rPr>
        <w:t>2004</w:t>
      </w:r>
      <w:r w:rsidRPr="00092FC6">
        <w:t xml:space="preserve">); I-AB and I-C isolates have only been obtained during equine epizootics. The enzootic strains include variants I-D, I-E and I-F of subtype I, subtype II, four antigenic variants (A–D) of subtype III, and subtypes IV–VI. Normally, enzootic VEE viruses do not produce clinical encephalomyelitis in the equine species (Walton </w:t>
      </w:r>
      <w:r w:rsidRPr="00092FC6">
        <w:rPr>
          <w:i/>
        </w:rPr>
        <w:t>et al</w:t>
      </w:r>
      <w:r w:rsidRPr="00092FC6">
        <w:t>., 1973), but in 1993 and 1996 in Mexico, the 1-E enzootic subtype caused limited epizootics in horses</w:t>
      </w:r>
      <w:r w:rsidR="000D4586">
        <w:t xml:space="preserve"> </w:t>
      </w:r>
      <w:r w:rsidR="000D4586" w:rsidRPr="000D4586">
        <w:rPr>
          <w:u w:val="double"/>
        </w:rPr>
        <w:t xml:space="preserve">(Estrada-Franco </w:t>
      </w:r>
      <w:r w:rsidR="000D4586" w:rsidRPr="000D4586">
        <w:rPr>
          <w:i/>
          <w:iCs/>
          <w:u w:val="double"/>
        </w:rPr>
        <w:t>et al.,</w:t>
      </w:r>
      <w:r w:rsidR="000D4586" w:rsidRPr="000D4586">
        <w:rPr>
          <w:u w:val="double"/>
        </w:rPr>
        <w:t xml:space="preserve"> 2004)</w:t>
      </w:r>
      <w:r w:rsidRPr="00092FC6">
        <w:t xml:space="preserve">. The enzootic variants and subtypes can produce clinical disease in humans (Monath &amp; Trent, 1981; Pan-American Health Organization, 1972; Powers </w:t>
      </w:r>
      <w:r w:rsidRPr="00092FC6">
        <w:rPr>
          <w:i/>
        </w:rPr>
        <w:t>et al</w:t>
      </w:r>
      <w:r w:rsidRPr="00092FC6">
        <w:t>., 1997; Walton, 1981; Walton &amp; Grayson, 1989).</w:t>
      </w:r>
    </w:p>
    <w:p w14:paraId="6AAC8065" w14:textId="479C2182" w:rsidR="007F14E4" w:rsidRPr="00092FC6" w:rsidRDefault="00BD595E" w:rsidP="005D7229">
      <w:pPr>
        <w:pStyle w:val="paraA0"/>
      </w:pPr>
      <w:r w:rsidRPr="00092FC6">
        <w:t xml:space="preserve">Historically, epizootic VEE was limited to northern and western South America </w:t>
      </w:r>
      <w:r w:rsidRPr="007F14E4">
        <w:rPr>
          <w:strike/>
        </w:rPr>
        <w:t xml:space="preserve">(Venezuela, Colombia, Ecuador, Peru and Trinidad) </w:t>
      </w:r>
      <w:r w:rsidRPr="00092FC6">
        <w:t xml:space="preserve">(Pan-American Health Organization, 1972). From 1969 to 1972, however, epizootic activity (variant 1-AB) occurred in </w:t>
      </w:r>
      <w:r w:rsidR="007F14E4" w:rsidRPr="007F14E4">
        <w:rPr>
          <w:u w:val="double"/>
        </w:rPr>
        <w:t>North and Central America</w:t>
      </w:r>
      <w:r w:rsidR="007F14E4" w:rsidRPr="007F14E4">
        <w:rPr>
          <w:strike/>
        </w:rPr>
        <w:t xml:space="preserve"> </w:t>
      </w:r>
      <w:r w:rsidR="00B608BF" w:rsidRPr="007F14E4">
        <w:rPr>
          <w:strike/>
        </w:rPr>
        <w:t xml:space="preserve">Belize, Costa Rica, El Salvador, </w:t>
      </w:r>
      <w:r w:rsidRPr="007F14E4">
        <w:rPr>
          <w:strike/>
        </w:rPr>
        <w:t xml:space="preserve">Guatemala, </w:t>
      </w:r>
      <w:r w:rsidR="00B608BF" w:rsidRPr="007F14E4">
        <w:rPr>
          <w:strike/>
        </w:rPr>
        <w:t xml:space="preserve">Honduras, Mexico, </w:t>
      </w:r>
      <w:r w:rsidR="005976A1" w:rsidRPr="007F14E4">
        <w:rPr>
          <w:strike/>
        </w:rPr>
        <w:t xml:space="preserve">Nicaragua </w:t>
      </w:r>
      <w:r w:rsidRPr="007F14E4">
        <w:rPr>
          <w:strike/>
        </w:rPr>
        <w:t>and the United States of America</w:t>
      </w:r>
      <w:r w:rsidR="00AC66E4" w:rsidRPr="007F14E4">
        <w:rPr>
          <w:strike/>
        </w:rPr>
        <w:t xml:space="preserve"> </w:t>
      </w:r>
      <w:r w:rsidR="004B6F67" w:rsidRPr="007F14E4">
        <w:rPr>
          <w:strike/>
          <w:u w:val="double"/>
        </w:rPr>
        <w:t>USA</w:t>
      </w:r>
      <w:r w:rsidRPr="007F14E4">
        <w:rPr>
          <w:strike/>
        </w:rPr>
        <w:t xml:space="preserve"> (Texas)</w:t>
      </w:r>
      <w:r w:rsidRPr="00092FC6">
        <w:t xml:space="preserve">. Epizootics of VEE caused by I-AB or I-C virus have not occurred in North America </w:t>
      </w:r>
      <w:r w:rsidRPr="007F14E4">
        <w:rPr>
          <w:strike/>
        </w:rPr>
        <w:t xml:space="preserve">and Mexico </w:t>
      </w:r>
      <w:r w:rsidRPr="00092FC6">
        <w:t xml:space="preserve">since 1972. Equine and human isolations of epizootic VEE virus were subtype I-C strains from Venezuela in 1993, 1995,1996, 1999, 2000, 2003 (Navarro </w:t>
      </w:r>
      <w:r w:rsidR="00627D1D" w:rsidRPr="00092FC6">
        <w:rPr>
          <w:i/>
        </w:rPr>
        <w:t>et al</w:t>
      </w:r>
      <w:r w:rsidRPr="00092FC6">
        <w:t xml:space="preserve">., 2005) and Colombia in 1995. Additionally, variant 1-AB has been isolated from sentinel hamsters in Venezuela (Medina </w:t>
      </w:r>
      <w:r w:rsidR="00627D1D" w:rsidRPr="00092FC6">
        <w:rPr>
          <w:i/>
        </w:rPr>
        <w:t>et al</w:t>
      </w:r>
      <w:r w:rsidRPr="00092FC6">
        <w:t>., 2015).</w:t>
      </w:r>
      <w:r w:rsidR="007F14E4">
        <w:t xml:space="preserve"> </w:t>
      </w:r>
      <w:r w:rsidR="007F14E4" w:rsidRPr="007F14E4">
        <w:rPr>
          <w:u w:val="double"/>
        </w:rPr>
        <w:t>For up-to-date information, consult OIE WAHIS interface</w:t>
      </w:r>
      <w:r w:rsidR="007F14E4" w:rsidRPr="007F14E4">
        <w:rPr>
          <w:rStyle w:val="Appelnotedebasdep"/>
          <w:u w:val="double"/>
        </w:rPr>
        <w:footnoteReference w:id="2"/>
      </w:r>
      <w:r w:rsidR="007F14E4" w:rsidRPr="007F14E4">
        <w:rPr>
          <w:u w:val="double"/>
        </w:rPr>
        <w:t>).</w:t>
      </w:r>
    </w:p>
    <w:p w14:paraId="14DB98EB" w14:textId="02030B94" w:rsidR="00BD595E" w:rsidRDefault="00BD595E" w:rsidP="005D7229">
      <w:pPr>
        <w:pStyle w:val="paraA0"/>
      </w:pPr>
      <w:r w:rsidRPr="00092FC6">
        <w:t xml:space="preserve">The foci of enzootic variants and subtypes are found in areas classified as tropical wet forest, i.e. those areas with a high water table or open swampy areas with meandering sunlit streams. These are the areas of the Americas where rainfall is distributed throughout the year or areas permanently supplied with water. Enzootic viruses cycle among rodents, and perhaps birds, by the feeding of mosquitoes (Monath &amp; Trent, 1981; Pan-American Health </w:t>
      </w:r>
      <w:r w:rsidRPr="00092FC6">
        <w:lastRenderedPageBreak/>
        <w:t xml:space="preserve">Organization, 1972; Walton, 1981; Walton &amp; Grayson, 1989). Enzootic VEE </w:t>
      </w:r>
      <w:r w:rsidR="007610B7" w:rsidRPr="00092FC6">
        <w:t xml:space="preserve">virus </w:t>
      </w:r>
      <w:r w:rsidRPr="00092FC6">
        <w:t>strains have been identified in the Florida Everglades (subtype II), Mexico (variant I-E), Central American countries (variant I-E), Panama (variants I-D and I-E), Venezuela (variant I-D), Colombia (variant I-D), Peru (variants 1-D, III-C, and III-D), French Guiana (variant III-B and subtype V), Ecuador (variant I-D), Bolivia (variant I-D), Suriname (variant III-A), Trinidad (variant III-A), Brazil (variants I-F</w:t>
      </w:r>
      <w:r w:rsidR="00C25CF5" w:rsidRPr="00C25CF5">
        <w:rPr>
          <w:u w:val="double"/>
        </w:rPr>
        <w:t>,</w:t>
      </w:r>
      <w:r w:rsidRPr="00092FC6">
        <w:t xml:space="preserve"> </w:t>
      </w:r>
      <w:r w:rsidRPr="00C25CF5">
        <w:rPr>
          <w:strike/>
        </w:rPr>
        <w:t xml:space="preserve">and </w:t>
      </w:r>
      <w:r w:rsidRPr="00092FC6">
        <w:t>III-A</w:t>
      </w:r>
      <w:r w:rsidR="00C25CF5" w:rsidRPr="00C25CF5">
        <w:rPr>
          <w:u w:val="double"/>
        </w:rPr>
        <w:t>,</w:t>
      </w:r>
      <w:r w:rsidRPr="00092FC6">
        <w:t xml:space="preserve"> and subtype IV), and Argentina (subtype VI). In an atypical ecological niche, variant III-B has been isolated in the USA (Colorado and South Dakota) in an unusual association with birds (Aguilar </w:t>
      </w:r>
      <w:r w:rsidR="00627D1D" w:rsidRPr="00092FC6">
        <w:rPr>
          <w:i/>
        </w:rPr>
        <w:t>et al</w:t>
      </w:r>
      <w:r w:rsidRPr="00092FC6">
        <w:t>., 2009; Monath &amp; Trent, 1981; Pan-American Health Organization, 1972; Walton, 1981; Walton &amp; Grayson, 1989)</w:t>
      </w:r>
      <w:r w:rsidRPr="00B04614">
        <w:rPr>
          <w:strike/>
        </w:rPr>
        <w:t>.</w:t>
      </w:r>
      <w:r w:rsidR="00B04614" w:rsidRPr="00B04614">
        <w:rPr>
          <w:u w:val="double"/>
        </w:rPr>
        <w:t xml:space="preserve">, while the </w:t>
      </w:r>
      <w:r w:rsidRPr="00092FC6">
        <w:t>Everglades virus is a subtype II VEE virus that infects rodents and dogs in Florida.</w:t>
      </w:r>
    </w:p>
    <w:p w14:paraId="49DFDF31" w14:textId="2A847ECB" w:rsidR="00E93458" w:rsidRPr="00E93458" w:rsidRDefault="00E93458" w:rsidP="00E93458">
      <w:pPr>
        <w:pStyle w:val="1"/>
        <w:rPr>
          <w:u w:val="double"/>
        </w:rPr>
      </w:pPr>
      <w:r w:rsidRPr="00E93458">
        <w:rPr>
          <w:u w:val="double"/>
        </w:rPr>
        <w:t>1.</w:t>
      </w:r>
      <w:r w:rsidRPr="00E93458">
        <w:rPr>
          <w:u w:val="double"/>
        </w:rPr>
        <w:tab/>
        <w:t>Biosafety</w:t>
      </w:r>
    </w:p>
    <w:p w14:paraId="7A5ECCEE" w14:textId="77777777" w:rsidR="00E93458" w:rsidRDefault="00E93458" w:rsidP="00E93458">
      <w:pPr>
        <w:pStyle w:val="paraA0"/>
      </w:pPr>
      <w:r w:rsidRPr="00092FC6">
        <w:t xml:space="preserve">Severe clinical disease and death caused by EEE and WEE viruses have been reported in laboratory workers. </w:t>
      </w:r>
      <w:r w:rsidRPr="00092FC6">
        <w:rPr>
          <w:lang w:val="en-IE"/>
        </w:rPr>
        <w:t xml:space="preserve">Laboratory manipulations should be carried out at an appropriate biosafety and containment level determined by </w:t>
      </w:r>
      <w:r>
        <w:rPr>
          <w:lang w:val="en-IE"/>
        </w:rPr>
        <w:t>ri</w:t>
      </w:r>
      <w:r w:rsidRPr="00092FC6">
        <w:rPr>
          <w:lang w:val="en-IE"/>
        </w:rPr>
        <w:t xml:space="preserve">sk analysis (see Chapter 1.1.4 </w:t>
      </w:r>
      <w:r w:rsidRPr="00092FC6">
        <w:rPr>
          <w:i/>
          <w:lang w:val="en-IE"/>
        </w:rPr>
        <w:t xml:space="preserve">Biosafety and biosecurity: </w:t>
      </w:r>
      <w:r w:rsidRPr="00092FC6">
        <w:rPr>
          <w:i/>
          <w:iCs/>
        </w:rPr>
        <w:t>Standard for managing biological risk</w:t>
      </w:r>
      <w:r w:rsidRPr="00092FC6">
        <w:rPr>
          <w:i/>
        </w:rPr>
        <w:t xml:space="preserve"> in the veterinary laboratory and animal facilities</w:t>
      </w:r>
      <w:r w:rsidRPr="00092FC6">
        <w:rPr>
          <w:lang w:val="en-IE"/>
        </w:rPr>
        <w:t xml:space="preserve">). </w:t>
      </w:r>
      <w:r w:rsidRPr="00092FC6">
        <w:t>It is recommended that personne</w:t>
      </w:r>
      <w:r>
        <w:t xml:space="preserve">l be immunised against EEE </w:t>
      </w:r>
      <w:r w:rsidRPr="00762FC5">
        <w:rPr>
          <w:strike/>
        </w:rPr>
        <w:t xml:space="preserve">and WEE </w:t>
      </w:r>
      <w:r w:rsidRPr="00092FC6">
        <w:t>virus</w:t>
      </w:r>
      <w:r w:rsidRPr="00762FC5">
        <w:rPr>
          <w:strike/>
        </w:rPr>
        <w:t>es</w:t>
      </w:r>
      <w:r w:rsidRPr="00092FC6">
        <w:t xml:space="preserve"> (United States Department of Health and Human Services, 2009</w:t>
      </w:r>
      <w:r>
        <w:t xml:space="preserve">). </w:t>
      </w:r>
      <w:r w:rsidRPr="00092FC6">
        <w:t>Precautions should also be taken to prevent human infection when performing post-mortem examinations on horses suspected of being infected with the equine encephalomyelitis viruses.</w:t>
      </w:r>
    </w:p>
    <w:p w14:paraId="1A081FE0" w14:textId="3B82B1EB" w:rsidR="006A06F4" w:rsidRDefault="006A06F4" w:rsidP="005D7229">
      <w:pPr>
        <w:pStyle w:val="paraA0"/>
        <w:spacing w:after="480"/>
        <w:rPr>
          <w:lang w:val="en-IE"/>
        </w:rPr>
      </w:pPr>
      <w:r w:rsidRPr="00092FC6">
        <w:t xml:space="preserve">Human VEE virus infections have originated by aerosol transmission from the cage debris of infected laboratory rodents and from laboratory </w:t>
      </w:r>
      <w:r w:rsidRPr="00286FF7">
        <w:t>accidents</w:t>
      </w:r>
      <w:r w:rsidR="00842BCB" w:rsidRPr="00286FF7">
        <w:t xml:space="preserve"> (Quiro</w:t>
      </w:r>
      <w:r w:rsidR="00286FF7" w:rsidRPr="00286FF7">
        <w:t>z</w:t>
      </w:r>
      <w:r w:rsidR="00842BCB" w:rsidRPr="00286FF7">
        <w:t xml:space="preserve"> </w:t>
      </w:r>
      <w:r w:rsidR="00842BCB" w:rsidRPr="00286FF7">
        <w:rPr>
          <w:i/>
          <w:iCs/>
        </w:rPr>
        <w:t>et al</w:t>
      </w:r>
      <w:r w:rsidR="00903765" w:rsidRPr="00286FF7">
        <w:rPr>
          <w:i/>
          <w:iCs/>
        </w:rPr>
        <w:t>.</w:t>
      </w:r>
      <w:r w:rsidR="00842BCB" w:rsidRPr="00286FF7">
        <w:rPr>
          <w:i/>
          <w:iCs/>
        </w:rPr>
        <w:t>,</w:t>
      </w:r>
      <w:r w:rsidR="00842BCB" w:rsidRPr="00286FF7">
        <w:t xml:space="preserve"> 2009)</w:t>
      </w:r>
      <w:r w:rsidRPr="00286FF7">
        <w:t xml:space="preserve"> Infections</w:t>
      </w:r>
      <w:r w:rsidRPr="00092FC6">
        <w:t xml:space="preserve"> with both epizootic and enzootic variants and subtypes have been acquired by laboratory workers (American Committee on Arthropod-Borne Viruses [ACAV], 1980). Severe clinical disease or death can occur in humans. Those who handle infectious VEE viruses or their antigens prepared from infected tissues or cell cultures should be vaccinated and shown to have VEE virus-specific neutralising antibody (Berge </w:t>
      </w:r>
      <w:r w:rsidRPr="00092FC6">
        <w:rPr>
          <w:i/>
        </w:rPr>
        <w:t>et al</w:t>
      </w:r>
      <w:r w:rsidRPr="00092FC6">
        <w:t xml:space="preserve">., 1961; Pan-American Health Organization, 1972). </w:t>
      </w:r>
      <w:r w:rsidRPr="00092FC6">
        <w:rPr>
          <w:szCs w:val="22"/>
        </w:rPr>
        <w:t xml:space="preserve">If vaccination is not a viable option, additional personal protective equipment to include respiratory protection is recommended for all procedures. </w:t>
      </w:r>
      <w:r w:rsidRPr="00092FC6">
        <w:rPr>
          <w:lang w:val="en-IE"/>
        </w:rPr>
        <w:t xml:space="preserve">Laboratory manipulations should be carried out at an appropriate biosafety and containment level determined by risk analysis (see </w:t>
      </w:r>
      <w:r w:rsidR="00FF40F9" w:rsidRPr="00092FC6">
        <w:rPr>
          <w:lang w:val="en-IE"/>
        </w:rPr>
        <w:t>c</w:t>
      </w:r>
      <w:r w:rsidRPr="00092FC6">
        <w:rPr>
          <w:lang w:val="en-IE"/>
        </w:rPr>
        <w:t>hapter 1.1.4</w:t>
      </w:r>
      <w:r w:rsidR="00FF40F9" w:rsidRPr="00092FC6">
        <w:rPr>
          <w:lang w:val="en-IE"/>
        </w:rPr>
        <w:t>)</w:t>
      </w:r>
      <w:r w:rsidRPr="00092FC6">
        <w:rPr>
          <w:lang w:val="en-IE"/>
        </w:rPr>
        <w:t>.</w:t>
      </w:r>
      <w:r w:rsidR="00E93458">
        <w:rPr>
          <w:lang w:val="en-IE"/>
        </w:rPr>
        <w:t xml:space="preserve"> </w:t>
      </w:r>
    </w:p>
    <w:p w14:paraId="0EE1AD6A" w14:textId="77777777" w:rsidR="00FA1C86" w:rsidRPr="00092FC6" w:rsidRDefault="00FA1C86" w:rsidP="005D7229">
      <w:pPr>
        <w:pStyle w:val="A0"/>
      </w:pPr>
      <w:r w:rsidRPr="00092FC6">
        <w:t>b.  DIAGNOSTIC TECHNIQUES</w:t>
      </w:r>
    </w:p>
    <w:p w14:paraId="02C66865" w14:textId="19BF5188" w:rsidR="003B3F2F" w:rsidRPr="00092FC6" w:rsidRDefault="003B3F2F" w:rsidP="007932E8">
      <w:pPr>
        <w:pStyle w:val="Tabletitle"/>
      </w:pPr>
      <w:r w:rsidRPr="00092FC6">
        <w:t>Table 1.</w:t>
      </w:r>
      <w:r w:rsidR="000640B4" w:rsidRPr="00092FC6">
        <w:t xml:space="preserve"> </w:t>
      </w:r>
      <w:r w:rsidRPr="00092FC6">
        <w:rPr>
          <w:b w:val="0"/>
        </w:rPr>
        <w:t xml:space="preserve">Test methods available for the diagnosis of </w:t>
      </w:r>
      <w:r w:rsidR="007E33FA" w:rsidRPr="00092FC6">
        <w:rPr>
          <w:b w:val="0"/>
        </w:rPr>
        <w:t>EEE,</w:t>
      </w:r>
      <w:r w:rsidR="00050E20" w:rsidRPr="00092FC6">
        <w:rPr>
          <w:b w:val="0"/>
        </w:rPr>
        <w:t xml:space="preserve"> WEE</w:t>
      </w:r>
      <w:r w:rsidR="004079D2">
        <w:rPr>
          <w:b w:val="0"/>
        </w:rPr>
        <w:t xml:space="preserve"> and </w:t>
      </w:r>
      <w:r w:rsidR="007E33FA" w:rsidRPr="00092FC6">
        <w:rPr>
          <w:b w:val="0"/>
        </w:rPr>
        <w:t>VEE</w:t>
      </w:r>
      <w:r w:rsidRPr="00092FC6">
        <w:rPr>
          <w:b w:val="0"/>
        </w:rPr>
        <w:t xml:space="preserve"> and their purpose</w:t>
      </w:r>
      <w:r w:rsidR="00E872B0">
        <w:rPr>
          <w:rStyle w:val="Appelnotedebasdep"/>
        </w:rPr>
        <w:footnoteReference w:id="3"/>
      </w:r>
    </w:p>
    <w:tbl>
      <w:tblPr>
        <w:tblW w:w="9109" w:type="dxa"/>
        <w:jc w:val="center"/>
        <w:tblLayout w:type="fixed"/>
        <w:tblCellMar>
          <w:left w:w="96" w:type="dxa"/>
          <w:right w:w="96" w:type="dxa"/>
        </w:tblCellMar>
        <w:tblLook w:val="0000" w:firstRow="0" w:lastRow="0" w:firstColumn="0" w:lastColumn="0" w:noHBand="0" w:noVBand="0"/>
      </w:tblPr>
      <w:tblGrid>
        <w:gridCol w:w="1639"/>
        <w:gridCol w:w="990"/>
        <w:gridCol w:w="1328"/>
        <w:gridCol w:w="1134"/>
        <w:gridCol w:w="1134"/>
        <w:gridCol w:w="1134"/>
        <w:gridCol w:w="1750"/>
      </w:tblGrid>
      <w:tr w:rsidR="00470354" w:rsidRPr="00092FC6" w14:paraId="4D357EBF" w14:textId="77777777" w:rsidTr="00F22AF3">
        <w:trPr>
          <w:trHeight w:val="402"/>
          <w:tblHeader/>
          <w:jc w:val="center"/>
        </w:trPr>
        <w:tc>
          <w:tcPr>
            <w:tcW w:w="1639" w:type="dxa"/>
            <w:vMerge w:val="restart"/>
            <w:tcBorders>
              <w:top w:val="single" w:sz="6" w:space="0" w:color="auto"/>
              <w:left w:val="single" w:sz="6" w:space="0" w:color="auto"/>
            </w:tcBorders>
            <w:vAlign w:val="center"/>
          </w:tcPr>
          <w:p w14:paraId="6E1BE3B4" w14:textId="77777777" w:rsidR="007932E8" w:rsidRPr="00092FC6" w:rsidRDefault="007932E8" w:rsidP="003A37E9">
            <w:pPr>
              <w:pStyle w:val="TableHead"/>
              <w:spacing w:before="100" w:after="100"/>
              <w:rPr>
                <w:rFonts w:ascii="Arial" w:hAnsi="Arial" w:cs="Arial"/>
                <w:lang w:val="en-GB"/>
              </w:rPr>
            </w:pPr>
            <w:r w:rsidRPr="00092FC6">
              <w:rPr>
                <w:rFonts w:ascii="Arial" w:hAnsi="Arial" w:cs="Arial"/>
                <w:lang w:val="en-GB"/>
              </w:rPr>
              <w:t>Method</w:t>
            </w:r>
          </w:p>
        </w:tc>
        <w:tc>
          <w:tcPr>
            <w:tcW w:w="7470" w:type="dxa"/>
            <w:gridSpan w:val="6"/>
            <w:tcBorders>
              <w:top w:val="single" w:sz="6" w:space="0" w:color="auto"/>
              <w:left w:val="single" w:sz="6" w:space="0" w:color="auto"/>
              <w:right w:val="single" w:sz="6" w:space="0" w:color="auto"/>
            </w:tcBorders>
            <w:vAlign w:val="center"/>
          </w:tcPr>
          <w:p w14:paraId="3EFB63EE" w14:textId="77777777" w:rsidR="007932E8" w:rsidRPr="00092FC6" w:rsidRDefault="007932E8" w:rsidP="003A37E9">
            <w:pPr>
              <w:pStyle w:val="Tabletext"/>
              <w:spacing w:before="100" w:after="100"/>
              <w:rPr>
                <w:b/>
                <w:bCs w:val="0"/>
                <w:sz w:val="16"/>
                <w:szCs w:val="16"/>
                <w:lang w:val="en-GB"/>
              </w:rPr>
            </w:pPr>
            <w:r w:rsidRPr="00092FC6">
              <w:rPr>
                <w:b/>
                <w:lang w:val="en-GB"/>
              </w:rPr>
              <w:t>Purpose</w:t>
            </w:r>
          </w:p>
        </w:tc>
      </w:tr>
      <w:tr w:rsidR="00470354" w:rsidRPr="00092FC6" w14:paraId="3178E2C1" w14:textId="77777777" w:rsidTr="00F22AF3">
        <w:trPr>
          <w:trHeight w:val="402"/>
          <w:tblHeader/>
          <w:jc w:val="center"/>
        </w:trPr>
        <w:tc>
          <w:tcPr>
            <w:tcW w:w="1639" w:type="dxa"/>
            <w:vMerge/>
            <w:tcBorders>
              <w:left w:val="single" w:sz="6" w:space="0" w:color="auto"/>
            </w:tcBorders>
            <w:vAlign w:val="center"/>
          </w:tcPr>
          <w:p w14:paraId="184C44B3" w14:textId="77777777" w:rsidR="007932E8" w:rsidRPr="00092FC6" w:rsidRDefault="007932E8" w:rsidP="003A37E9">
            <w:pPr>
              <w:pStyle w:val="TableHead"/>
              <w:spacing w:before="100" w:after="100"/>
              <w:jc w:val="both"/>
              <w:rPr>
                <w:rFonts w:ascii="Arial" w:hAnsi="Arial" w:cs="Arial"/>
                <w:sz w:val="16"/>
                <w:szCs w:val="16"/>
                <w:lang w:val="en-GB"/>
              </w:rPr>
            </w:pPr>
          </w:p>
        </w:tc>
        <w:tc>
          <w:tcPr>
            <w:tcW w:w="990" w:type="dxa"/>
            <w:tcBorders>
              <w:top w:val="single" w:sz="6" w:space="0" w:color="auto"/>
              <w:left w:val="single" w:sz="6" w:space="0" w:color="auto"/>
            </w:tcBorders>
            <w:vAlign w:val="center"/>
          </w:tcPr>
          <w:p w14:paraId="40F43C4D" w14:textId="77777777" w:rsidR="007932E8" w:rsidRPr="00092FC6" w:rsidRDefault="007932E8" w:rsidP="003A37E9">
            <w:pPr>
              <w:pStyle w:val="Tabletext"/>
              <w:spacing w:before="100" w:after="100"/>
              <w:rPr>
                <w:sz w:val="16"/>
                <w:szCs w:val="16"/>
                <w:lang w:val="en-GB"/>
              </w:rPr>
            </w:pPr>
            <w:r w:rsidRPr="00092FC6">
              <w:rPr>
                <w:sz w:val="16"/>
                <w:szCs w:val="16"/>
                <w:lang w:val="en-GB"/>
              </w:rPr>
              <w:t>Population freedom from infection</w:t>
            </w:r>
          </w:p>
        </w:tc>
        <w:tc>
          <w:tcPr>
            <w:tcW w:w="1328" w:type="dxa"/>
            <w:tcBorders>
              <w:top w:val="single" w:sz="6" w:space="0" w:color="auto"/>
              <w:left w:val="single" w:sz="6" w:space="0" w:color="auto"/>
            </w:tcBorders>
            <w:vAlign w:val="center"/>
          </w:tcPr>
          <w:p w14:paraId="74BA356E" w14:textId="77777777" w:rsidR="007932E8" w:rsidRPr="00092FC6" w:rsidRDefault="007932E8" w:rsidP="003A37E9">
            <w:pPr>
              <w:pStyle w:val="Tabletext"/>
              <w:spacing w:before="100" w:after="100"/>
              <w:rPr>
                <w:sz w:val="16"/>
                <w:szCs w:val="16"/>
                <w:lang w:val="en-GB"/>
              </w:rPr>
            </w:pPr>
            <w:r w:rsidRPr="00092FC6">
              <w:rPr>
                <w:sz w:val="16"/>
                <w:szCs w:val="16"/>
                <w:lang w:val="en-GB"/>
              </w:rPr>
              <w:t>Individual animal freedom from infection prior to movement</w:t>
            </w:r>
          </w:p>
        </w:tc>
        <w:tc>
          <w:tcPr>
            <w:tcW w:w="1134" w:type="dxa"/>
            <w:tcBorders>
              <w:top w:val="single" w:sz="6" w:space="0" w:color="auto"/>
              <w:left w:val="single" w:sz="6" w:space="0" w:color="auto"/>
            </w:tcBorders>
            <w:vAlign w:val="center"/>
          </w:tcPr>
          <w:p w14:paraId="26A0A689" w14:textId="77777777" w:rsidR="007932E8" w:rsidRPr="00092FC6" w:rsidRDefault="007932E8" w:rsidP="003A37E9">
            <w:pPr>
              <w:pStyle w:val="Tabletext"/>
              <w:spacing w:before="100" w:after="100"/>
              <w:rPr>
                <w:sz w:val="16"/>
                <w:szCs w:val="16"/>
                <w:lang w:val="en-GB"/>
              </w:rPr>
            </w:pPr>
            <w:r w:rsidRPr="00092FC6">
              <w:rPr>
                <w:sz w:val="16"/>
                <w:szCs w:val="16"/>
                <w:lang w:val="en-GB"/>
              </w:rPr>
              <w:t>Contribute to eradication policies</w:t>
            </w:r>
          </w:p>
        </w:tc>
        <w:tc>
          <w:tcPr>
            <w:tcW w:w="1134" w:type="dxa"/>
            <w:tcBorders>
              <w:top w:val="single" w:sz="6" w:space="0" w:color="auto"/>
              <w:left w:val="single" w:sz="6" w:space="0" w:color="auto"/>
            </w:tcBorders>
            <w:vAlign w:val="center"/>
          </w:tcPr>
          <w:p w14:paraId="7C21AD0F" w14:textId="77777777" w:rsidR="007932E8" w:rsidRPr="00092FC6" w:rsidRDefault="007932E8" w:rsidP="003A37E9">
            <w:pPr>
              <w:pStyle w:val="Tabletext"/>
              <w:spacing w:before="100" w:after="100"/>
              <w:rPr>
                <w:sz w:val="16"/>
                <w:szCs w:val="16"/>
                <w:lang w:val="en-GB"/>
              </w:rPr>
            </w:pPr>
            <w:r w:rsidRPr="00092FC6">
              <w:rPr>
                <w:sz w:val="16"/>
                <w:szCs w:val="16"/>
                <w:lang w:val="en-GB"/>
              </w:rPr>
              <w:t>Confirmation of clinical cases</w:t>
            </w:r>
          </w:p>
        </w:tc>
        <w:tc>
          <w:tcPr>
            <w:tcW w:w="1134" w:type="dxa"/>
            <w:tcBorders>
              <w:top w:val="single" w:sz="6" w:space="0" w:color="auto"/>
              <w:left w:val="single" w:sz="6" w:space="0" w:color="auto"/>
            </w:tcBorders>
            <w:vAlign w:val="center"/>
          </w:tcPr>
          <w:p w14:paraId="32F909BE" w14:textId="77777777" w:rsidR="007932E8" w:rsidRPr="00092FC6" w:rsidRDefault="007932E8" w:rsidP="003A37E9">
            <w:pPr>
              <w:pStyle w:val="Tabletext"/>
              <w:spacing w:before="100" w:after="100"/>
              <w:rPr>
                <w:sz w:val="16"/>
                <w:szCs w:val="16"/>
                <w:lang w:val="en-GB"/>
              </w:rPr>
            </w:pPr>
            <w:r w:rsidRPr="00092FC6">
              <w:rPr>
                <w:sz w:val="16"/>
                <w:szCs w:val="16"/>
                <w:lang w:val="en-GB"/>
              </w:rPr>
              <w:t>Prevalence of infection – surveillance</w:t>
            </w:r>
          </w:p>
        </w:tc>
        <w:tc>
          <w:tcPr>
            <w:tcW w:w="1750" w:type="dxa"/>
            <w:tcBorders>
              <w:top w:val="single" w:sz="6" w:space="0" w:color="auto"/>
              <w:left w:val="single" w:sz="6" w:space="0" w:color="auto"/>
              <w:right w:val="single" w:sz="6" w:space="0" w:color="auto"/>
            </w:tcBorders>
            <w:vAlign w:val="center"/>
          </w:tcPr>
          <w:p w14:paraId="16F78A14" w14:textId="77777777" w:rsidR="007932E8" w:rsidRPr="00092FC6" w:rsidRDefault="007932E8" w:rsidP="003A37E9">
            <w:pPr>
              <w:pStyle w:val="Tabletext"/>
              <w:spacing w:before="100" w:after="100"/>
              <w:rPr>
                <w:sz w:val="16"/>
                <w:szCs w:val="16"/>
                <w:lang w:val="en-GB"/>
              </w:rPr>
            </w:pPr>
            <w:r w:rsidRPr="00092FC6">
              <w:rPr>
                <w:sz w:val="16"/>
                <w:szCs w:val="16"/>
                <w:lang w:val="en-GB"/>
              </w:rPr>
              <w:t>Immune status in individual animals or populations post-vaccination</w:t>
            </w:r>
          </w:p>
        </w:tc>
      </w:tr>
      <w:tr w:rsidR="00470354" w:rsidRPr="00092FC6" w14:paraId="5FF5359B" w14:textId="77777777" w:rsidTr="00F22AF3">
        <w:trPr>
          <w:trHeight w:val="402"/>
          <w:jc w:val="center"/>
        </w:trPr>
        <w:tc>
          <w:tcPr>
            <w:tcW w:w="9109" w:type="dxa"/>
            <w:gridSpan w:val="7"/>
            <w:tcBorders>
              <w:top w:val="single" w:sz="6" w:space="0" w:color="auto"/>
              <w:left w:val="single" w:sz="6" w:space="0" w:color="auto"/>
              <w:bottom w:val="single" w:sz="6" w:space="0" w:color="auto"/>
              <w:right w:val="single" w:sz="6" w:space="0" w:color="auto"/>
            </w:tcBorders>
            <w:shd w:val="pct10" w:color="auto" w:fill="auto"/>
          </w:tcPr>
          <w:p w14:paraId="059FD684" w14:textId="319C0290" w:rsidR="007932E8" w:rsidRPr="00807940" w:rsidRDefault="00FA3DD9" w:rsidP="003A37E9">
            <w:pPr>
              <w:pStyle w:val="Tabletext"/>
              <w:spacing w:before="100" w:after="100"/>
              <w:rPr>
                <w:sz w:val="16"/>
                <w:szCs w:val="16"/>
                <w:lang w:val="en-GB"/>
              </w:rPr>
            </w:pPr>
            <w:r w:rsidRPr="000F32DE">
              <w:rPr>
                <w:b/>
                <w:sz w:val="16"/>
                <w:szCs w:val="16"/>
                <w:u w:val="double"/>
              </w:rPr>
              <w:t>Detection of the</w:t>
            </w:r>
            <w:r>
              <w:rPr>
                <w:b/>
                <w:sz w:val="16"/>
                <w:szCs w:val="16"/>
              </w:rPr>
              <w:t xml:space="preserve"> a</w:t>
            </w:r>
            <w:r w:rsidRPr="00807940">
              <w:rPr>
                <w:b/>
                <w:sz w:val="16"/>
                <w:szCs w:val="16"/>
              </w:rPr>
              <w:t xml:space="preserve">gent </w:t>
            </w:r>
            <w:r w:rsidR="007932E8" w:rsidRPr="00A3160F">
              <w:rPr>
                <w:b/>
                <w:strike/>
                <w:sz w:val="16"/>
                <w:szCs w:val="16"/>
              </w:rPr>
              <w:t>identification</w:t>
            </w:r>
            <w:r w:rsidR="007932E8" w:rsidRPr="00807940">
              <w:rPr>
                <w:rStyle w:val="Appelnotedebasdep"/>
                <w:b/>
                <w:sz w:val="16"/>
                <w:szCs w:val="16"/>
              </w:rPr>
              <w:footnoteReference w:id="4"/>
            </w:r>
          </w:p>
        </w:tc>
      </w:tr>
      <w:tr w:rsidR="00470354" w:rsidRPr="00092FC6" w14:paraId="1E74EAEB" w14:textId="77777777" w:rsidTr="00F22AF3">
        <w:trPr>
          <w:trHeight w:val="402"/>
          <w:jc w:val="center"/>
        </w:trPr>
        <w:tc>
          <w:tcPr>
            <w:tcW w:w="1639" w:type="dxa"/>
            <w:tcBorders>
              <w:top w:val="single" w:sz="6" w:space="0" w:color="auto"/>
              <w:left w:val="single" w:sz="6" w:space="0" w:color="auto"/>
              <w:bottom w:val="single" w:sz="4" w:space="0" w:color="auto"/>
            </w:tcBorders>
            <w:vAlign w:val="center"/>
          </w:tcPr>
          <w:p w14:paraId="5D16693A" w14:textId="77777777" w:rsidR="007932E8" w:rsidRPr="00092FC6" w:rsidRDefault="007932E8" w:rsidP="003A37E9">
            <w:pPr>
              <w:spacing w:before="100" w:after="100" w:line="240" w:lineRule="auto"/>
              <w:jc w:val="center"/>
              <w:rPr>
                <w:rFonts w:ascii="Arial" w:hAnsi="Arial" w:cs="Arial"/>
                <w:b/>
                <w:sz w:val="16"/>
                <w:szCs w:val="16"/>
              </w:rPr>
            </w:pPr>
            <w:r w:rsidRPr="00092FC6">
              <w:rPr>
                <w:rFonts w:ascii="Arial" w:hAnsi="Arial" w:cs="Arial"/>
                <w:b/>
                <w:sz w:val="16"/>
                <w:szCs w:val="16"/>
              </w:rPr>
              <w:t>RT-PCR</w:t>
            </w:r>
          </w:p>
        </w:tc>
        <w:tc>
          <w:tcPr>
            <w:tcW w:w="990" w:type="dxa"/>
            <w:tcBorders>
              <w:top w:val="single" w:sz="6" w:space="0" w:color="auto"/>
              <w:left w:val="single" w:sz="6" w:space="0" w:color="auto"/>
              <w:bottom w:val="single" w:sz="4" w:space="0" w:color="auto"/>
            </w:tcBorders>
            <w:vAlign w:val="center"/>
          </w:tcPr>
          <w:p w14:paraId="3FCFC1D1" w14:textId="77777777" w:rsidR="007932E8" w:rsidRPr="00092FC6" w:rsidRDefault="007932E8" w:rsidP="003A37E9">
            <w:pPr>
              <w:pStyle w:val="Tabletext"/>
              <w:spacing w:before="100" w:after="100"/>
              <w:rPr>
                <w:sz w:val="16"/>
                <w:szCs w:val="16"/>
                <w:lang w:val="en-GB"/>
              </w:rPr>
            </w:pPr>
            <w:r w:rsidRPr="00092FC6">
              <w:rPr>
                <w:sz w:val="16"/>
                <w:szCs w:val="16"/>
                <w:lang w:val="en-GB"/>
              </w:rPr>
              <w:t>–</w:t>
            </w:r>
          </w:p>
        </w:tc>
        <w:tc>
          <w:tcPr>
            <w:tcW w:w="1328" w:type="dxa"/>
            <w:tcBorders>
              <w:top w:val="single" w:sz="6" w:space="0" w:color="auto"/>
              <w:left w:val="single" w:sz="6" w:space="0" w:color="auto"/>
              <w:bottom w:val="single" w:sz="4" w:space="0" w:color="auto"/>
            </w:tcBorders>
            <w:vAlign w:val="center"/>
          </w:tcPr>
          <w:p w14:paraId="204B5069" w14:textId="77777777" w:rsidR="007932E8" w:rsidRPr="00092FC6" w:rsidRDefault="007932E8" w:rsidP="003A37E9">
            <w:pPr>
              <w:pStyle w:val="Tabletext"/>
              <w:spacing w:before="100" w:after="100"/>
              <w:rPr>
                <w:sz w:val="16"/>
                <w:szCs w:val="16"/>
                <w:lang w:val="en-GB"/>
              </w:rPr>
            </w:pPr>
            <w:r w:rsidRPr="00092FC6">
              <w:rPr>
                <w:sz w:val="16"/>
                <w:szCs w:val="16"/>
                <w:lang w:val="en-GB"/>
              </w:rPr>
              <w:t>++</w:t>
            </w:r>
          </w:p>
        </w:tc>
        <w:tc>
          <w:tcPr>
            <w:tcW w:w="1134" w:type="dxa"/>
            <w:tcBorders>
              <w:top w:val="single" w:sz="6" w:space="0" w:color="auto"/>
              <w:left w:val="single" w:sz="6" w:space="0" w:color="auto"/>
              <w:bottom w:val="single" w:sz="4" w:space="0" w:color="auto"/>
            </w:tcBorders>
            <w:vAlign w:val="center"/>
          </w:tcPr>
          <w:p w14:paraId="04588BB0" w14:textId="2E103EF1" w:rsidR="007932E8" w:rsidRPr="00092FC6" w:rsidRDefault="00CC27BC" w:rsidP="003A37E9">
            <w:pPr>
              <w:pStyle w:val="Tabletext"/>
              <w:spacing w:before="100" w:after="100"/>
              <w:rPr>
                <w:sz w:val="16"/>
                <w:szCs w:val="16"/>
                <w:lang w:val="en-GB"/>
              </w:rPr>
            </w:pPr>
            <w:r w:rsidRPr="00092FC6">
              <w:rPr>
                <w:sz w:val="16"/>
                <w:szCs w:val="16"/>
                <w:lang w:val="en-GB"/>
              </w:rPr>
              <w:t>–</w:t>
            </w:r>
          </w:p>
        </w:tc>
        <w:tc>
          <w:tcPr>
            <w:tcW w:w="1134" w:type="dxa"/>
            <w:tcBorders>
              <w:top w:val="single" w:sz="6" w:space="0" w:color="auto"/>
              <w:left w:val="single" w:sz="6" w:space="0" w:color="auto"/>
              <w:bottom w:val="single" w:sz="4" w:space="0" w:color="auto"/>
            </w:tcBorders>
            <w:vAlign w:val="center"/>
          </w:tcPr>
          <w:p w14:paraId="53F3939C" w14:textId="77777777" w:rsidR="007932E8" w:rsidRPr="00092FC6" w:rsidRDefault="007932E8" w:rsidP="003A37E9">
            <w:pPr>
              <w:pStyle w:val="Tabletext"/>
              <w:spacing w:before="100" w:after="100"/>
              <w:rPr>
                <w:sz w:val="16"/>
                <w:szCs w:val="16"/>
                <w:lang w:val="en-GB"/>
              </w:rPr>
            </w:pPr>
            <w:r w:rsidRPr="00092FC6">
              <w:rPr>
                <w:sz w:val="16"/>
                <w:szCs w:val="16"/>
                <w:lang w:val="en-GB"/>
              </w:rPr>
              <w:t>+++</w:t>
            </w:r>
          </w:p>
        </w:tc>
        <w:tc>
          <w:tcPr>
            <w:tcW w:w="1134" w:type="dxa"/>
            <w:tcBorders>
              <w:top w:val="single" w:sz="6" w:space="0" w:color="auto"/>
              <w:left w:val="single" w:sz="6" w:space="0" w:color="auto"/>
              <w:bottom w:val="single" w:sz="4" w:space="0" w:color="auto"/>
            </w:tcBorders>
            <w:vAlign w:val="center"/>
          </w:tcPr>
          <w:p w14:paraId="4272BC1C" w14:textId="77777777" w:rsidR="007932E8" w:rsidRPr="00807940" w:rsidRDefault="007932E8" w:rsidP="003A37E9">
            <w:pPr>
              <w:pStyle w:val="Tabletext"/>
              <w:spacing w:before="100" w:after="100"/>
              <w:rPr>
                <w:sz w:val="16"/>
                <w:szCs w:val="16"/>
                <w:lang w:val="en-GB"/>
              </w:rPr>
            </w:pPr>
            <w:r w:rsidRPr="00807940">
              <w:rPr>
                <w:sz w:val="16"/>
                <w:szCs w:val="16"/>
                <w:lang w:val="en-GB"/>
              </w:rPr>
              <w:t>–</w:t>
            </w:r>
          </w:p>
        </w:tc>
        <w:tc>
          <w:tcPr>
            <w:tcW w:w="1750" w:type="dxa"/>
            <w:tcBorders>
              <w:top w:val="single" w:sz="6" w:space="0" w:color="auto"/>
              <w:left w:val="single" w:sz="6" w:space="0" w:color="auto"/>
              <w:bottom w:val="single" w:sz="4" w:space="0" w:color="auto"/>
              <w:right w:val="single" w:sz="6" w:space="0" w:color="auto"/>
            </w:tcBorders>
            <w:vAlign w:val="center"/>
          </w:tcPr>
          <w:p w14:paraId="46A7625A" w14:textId="77777777" w:rsidR="007932E8" w:rsidRPr="00092FC6" w:rsidRDefault="007932E8" w:rsidP="003A37E9">
            <w:pPr>
              <w:pStyle w:val="Tabletext"/>
              <w:spacing w:before="100" w:after="100"/>
              <w:rPr>
                <w:sz w:val="16"/>
                <w:szCs w:val="16"/>
                <w:lang w:val="en-GB"/>
              </w:rPr>
            </w:pPr>
            <w:r w:rsidRPr="00092FC6">
              <w:rPr>
                <w:sz w:val="16"/>
                <w:szCs w:val="16"/>
                <w:lang w:val="en-GB"/>
              </w:rPr>
              <w:t>–</w:t>
            </w:r>
          </w:p>
        </w:tc>
      </w:tr>
      <w:tr w:rsidR="00470354" w:rsidRPr="00092FC6" w14:paraId="53F35B36" w14:textId="77777777" w:rsidTr="00F22AF3">
        <w:trPr>
          <w:trHeight w:val="402"/>
          <w:jc w:val="center"/>
        </w:trPr>
        <w:tc>
          <w:tcPr>
            <w:tcW w:w="1639" w:type="dxa"/>
            <w:tcBorders>
              <w:top w:val="single" w:sz="4" w:space="0" w:color="auto"/>
              <w:left w:val="single" w:sz="6" w:space="0" w:color="auto"/>
              <w:bottom w:val="single" w:sz="6" w:space="0" w:color="auto"/>
            </w:tcBorders>
            <w:vAlign w:val="center"/>
          </w:tcPr>
          <w:p w14:paraId="0664F325" w14:textId="77777777" w:rsidR="007932E8" w:rsidRPr="00092FC6" w:rsidRDefault="007932E8" w:rsidP="003A37E9">
            <w:pPr>
              <w:spacing w:before="100" w:after="100" w:line="240" w:lineRule="auto"/>
              <w:jc w:val="center"/>
              <w:rPr>
                <w:rFonts w:ascii="Arial" w:hAnsi="Arial" w:cs="Arial"/>
                <w:b/>
                <w:sz w:val="16"/>
                <w:szCs w:val="16"/>
              </w:rPr>
            </w:pPr>
            <w:r w:rsidRPr="00092FC6">
              <w:rPr>
                <w:rFonts w:ascii="Arial" w:hAnsi="Arial" w:cs="Arial"/>
                <w:b/>
                <w:sz w:val="16"/>
                <w:szCs w:val="16"/>
              </w:rPr>
              <w:t xml:space="preserve">Isolation in </w:t>
            </w:r>
            <w:r w:rsidRPr="00092FC6">
              <w:rPr>
                <w:rFonts w:ascii="Arial" w:hAnsi="Arial" w:cs="Arial"/>
                <w:b/>
                <w:sz w:val="16"/>
                <w:szCs w:val="16"/>
              </w:rPr>
              <w:br/>
              <w:t>tissue culture</w:t>
            </w:r>
          </w:p>
        </w:tc>
        <w:tc>
          <w:tcPr>
            <w:tcW w:w="990" w:type="dxa"/>
            <w:tcBorders>
              <w:top w:val="single" w:sz="4" w:space="0" w:color="auto"/>
              <w:left w:val="single" w:sz="6" w:space="0" w:color="auto"/>
              <w:bottom w:val="single" w:sz="6" w:space="0" w:color="auto"/>
            </w:tcBorders>
            <w:vAlign w:val="center"/>
          </w:tcPr>
          <w:p w14:paraId="69D087A3" w14:textId="77777777" w:rsidR="007932E8" w:rsidRPr="00092FC6" w:rsidRDefault="007932E8" w:rsidP="003A37E9">
            <w:pPr>
              <w:pStyle w:val="Tabletext"/>
              <w:spacing w:before="100" w:after="100"/>
              <w:rPr>
                <w:sz w:val="16"/>
                <w:szCs w:val="16"/>
                <w:lang w:val="en-GB"/>
              </w:rPr>
            </w:pPr>
            <w:r w:rsidRPr="00092FC6">
              <w:rPr>
                <w:sz w:val="16"/>
                <w:szCs w:val="16"/>
                <w:lang w:val="en-GB"/>
              </w:rPr>
              <w:t>–</w:t>
            </w:r>
          </w:p>
        </w:tc>
        <w:tc>
          <w:tcPr>
            <w:tcW w:w="1328" w:type="dxa"/>
            <w:tcBorders>
              <w:top w:val="single" w:sz="4" w:space="0" w:color="auto"/>
              <w:left w:val="single" w:sz="6" w:space="0" w:color="auto"/>
              <w:bottom w:val="single" w:sz="6" w:space="0" w:color="auto"/>
            </w:tcBorders>
            <w:vAlign w:val="center"/>
          </w:tcPr>
          <w:p w14:paraId="7FF07711" w14:textId="77777777" w:rsidR="007932E8" w:rsidRPr="00092FC6" w:rsidRDefault="007932E8" w:rsidP="003A37E9">
            <w:pPr>
              <w:pStyle w:val="Tabletext"/>
              <w:spacing w:before="100" w:after="100"/>
              <w:rPr>
                <w:sz w:val="16"/>
                <w:szCs w:val="16"/>
                <w:lang w:val="en-GB"/>
              </w:rPr>
            </w:pPr>
            <w:r w:rsidRPr="00092FC6">
              <w:rPr>
                <w:sz w:val="16"/>
                <w:szCs w:val="16"/>
                <w:lang w:val="en-GB"/>
              </w:rPr>
              <w:t>++</w:t>
            </w:r>
          </w:p>
        </w:tc>
        <w:tc>
          <w:tcPr>
            <w:tcW w:w="1134" w:type="dxa"/>
            <w:tcBorders>
              <w:top w:val="single" w:sz="4" w:space="0" w:color="auto"/>
              <w:left w:val="single" w:sz="6" w:space="0" w:color="auto"/>
              <w:bottom w:val="single" w:sz="6" w:space="0" w:color="auto"/>
            </w:tcBorders>
            <w:vAlign w:val="center"/>
          </w:tcPr>
          <w:p w14:paraId="4714B4DF" w14:textId="2BBCEF80" w:rsidR="007932E8" w:rsidRPr="00092FC6" w:rsidRDefault="00CC27BC" w:rsidP="003A37E9">
            <w:pPr>
              <w:pStyle w:val="Tabletext"/>
              <w:spacing w:before="100" w:after="100"/>
              <w:rPr>
                <w:sz w:val="16"/>
                <w:szCs w:val="16"/>
                <w:lang w:val="en-GB"/>
              </w:rPr>
            </w:pPr>
            <w:r w:rsidRPr="00092FC6">
              <w:rPr>
                <w:sz w:val="16"/>
                <w:szCs w:val="16"/>
                <w:lang w:val="en-GB"/>
              </w:rPr>
              <w:t>–</w:t>
            </w:r>
          </w:p>
        </w:tc>
        <w:tc>
          <w:tcPr>
            <w:tcW w:w="1134" w:type="dxa"/>
            <w:tcBorders>
              <w:top w:val="single" w:sz="4" w:space="0" w:color="auto"/>
              <w:left w:val="single" w:sz="6" w:space="0" w:color="auto"/>
              <w:bottom w:val="single" w:sz="6" w:space="0" w:color="auto"/>
            </w:tcBorders>
            <w:vAlign w:val="center"/>
          </w:tcPr>
          <w:p w14:paraId="006BA5DC" w14:textId="77777777" w:rsidR="007932E8" w:rsidRPr="00092FC6" w:rsidRDefault="007932E8" w:rsidP="003A37E9">
            <w:pPr>
              <w:pStyle w:val="Tabletext"/>
              <w:spacing w:before="100" w:after="100"/>
              <w:rPr>
                <w:sz w:val="16"/>
                <w:szCs w:val="16"/>
                <w:lang w:val="en-GB"/>
              </w:rPr>
            </w:pPr>
            <w:r w:rsidRPr="00092FC6">
              <w:rPr>
                <w:sz w:val="16"/>
                <w:szCs w:val="16"/>
                <w:lang w:val="en-GB"/>
              </w:rPr>
              <w:t>+++</w:t>
            </w:r>
          </w:p>
        </w:tc>
        <w:tc>
          <w:tcPr>
            <w:tcW w:w="1134" w:type="dxa"/>
            <w:tcBorders>
              <w:top w:val="single" w:sz="4" w:space="0" w:color="auto"/>
              <w:left w:val="single" w:sz="6" w:space="0" w:color="auto"/>
              <w:bottom w:val="single" w:sz="6" w:space="0" w:color="auto"/>
            </w:tcBorders>
            <w:vAlign w:val="center"/>
          </w:tcPr>
          <w:p w14:paraId="3CC68A0A" w14:textId="77777777" w:rsidR="007932E8" w:rsidRPr="00092FC6" w:rsidRDefault="007932E8" w:rsidP="003A37E9">
            <w:pPr>
              <w:pStyle w:val="Tabletext"/>
              <w:spacing w:before="100" w:after="100"/>
              <w:rPr>
                <w:sz w:val="16"/>
                <w:szCs w:val="16"/>
                <w:lang w:val="en-GB"/>
              </w:rPr>
            </w:pPr>
            <w:r w:rsidRPr="00092FC6">
              <w:rPr>
                <w:sz w:val="16"/>
                <w:szCs w:val="16"/>
                <w:lang w:val="en-GB"/>
              </w:rPr>
              <w:t>–</w:t>
            </w:r>
          </w:p>
        </w:tc>
        <w:tc>
          <w:tcPr>
            <w:tcW w:w="1750" w:type="dxa"/>
            <w:tcBorders>
              <w:top w:val="single" w:sz="4" w:space="0" w:color="auto"/>
              <w:left w:val="single" w:sz="6" w:space="0" w:color="auto"/>
              <w:bottom w:val="single" w:sz="6" w:space="0" w:color="auto"/>
              <w:right w:val="single" w:sz="6" w:space="0" w:color="auto"/>
            </w:tcBorders>
            <w:vAlign w:val="center"/>
          </w:tcPr>
          <w:p w14:paraId="27AA866A" w14:textId="77777777" w:rsidR="007932E8" w:rsidRPr="00092FC6" w:rsidRDefault="007932E8" w:rsidP="003A37E9">
            <w:pPr>
              <w:pStyle w:val="Tabletext"/>
              <w:spacing w:before="100" w:after="100"/>
              <w:rPr>
                <w:sz w:val="16"/>
                <w:szCs w:val="16"/>
                <w:lang w:val="en-GB"/>
              </w:rPr>
            </w:pPr>
            <w:r w:rsidRPr="00092FC6">
              <w:rPr>
                <w:sz w:val="16"/>
                <w:szCs w:val="16"/>
                <w:lang w:val="en-GB"/>
              </w:rPr>
              <w:t>–</w:t>
            </w:r>
          </w:p>
        </w:tc>
      </w:tr>
      <w:tr w:rsidR="00470354" w:rsidRPr="00092FC6" w14:paraId="074E33D8" w14:textId="77777777" w:rsidTr="00F22AF3">
        <w:trPr>
          <w:trHeight w:val="402"/>
          <w:jc w:val="center"/>
        </w:trPr>
        <w:tc>
          <w:tcPr>
            <w:tcW w:w="9109" w:type="dxa"/>
            <w:gridSpan w:val="7"/>
            <w:tcBorders>
              <w:top w:val="single" w:sz="6" w:space="0" w:color="auto"/>
              <w:left w:val="single" w:sz="6" w:space="0" w:color="auto"/>
              <w:bottom w:val="single" w:sz="6" w:space="0" w:color="auto"/>
              <w:right w:val="single" w:sz="4" w:space="0" w:color="auto"/>
            </w:tcBorders>
            <w:shd w:val="pct10" w:color="auto" w:fill="auto"/>
            <w:vAlign w:val="center"/>
          </w:tcPr>
          <w:p w14:paraId="39FF0421" w14:textId="77777777" w:rsidR="007932E8" w:rsidRPr="00092FC6" w:rsidRDefault="007932E8" w:rsidP="00CA4F5C">
            <w:pPr>
              <w:pStyle w:val="Tabletext"/>
              <w:rPr>
                <w:lang w:val="en-GB"/>
              </w:rPr>
            </w:pPr>
            <w:r w:rsidRPr="00092FC6">
              <w:rPr>
                <w:b/>
                <w:sz w:val="16"/>
                <w:szCs w:val="16"/>
              </w:rPr>
              <w:t>Detection of immune response</w:t>
            </w:r>
          </w:p>
        </w:tc>
      </w:tr>
      <w:tr w:rsidR="00470354" w:rsidRPr="00092FC6" w14:paraId="2EC0291A" w14:textId="77777777" w:rsidTr="00F22AF3">
        <w:trPr>
          <w:trHeight w:val="402"/>
          <w:jc w:val="center"/>
        </w:trPr>
        <w:tc>
          <w:tcPr>
            <w:tcW w:w="1639" w:type="dxa"/>
            <w:tcBorders>
              <w:top w:val="single" w:sz="6" w:space="0" w:color="auto"/>
              <w:left w:val="single" w:sz="6" w:space="0" w:color="auto"/>
              <w:bottom w:val="single" w:sz="4" w:space="0" w:color="auto"/>
            </w:tcBorders>
            <w:vAlign w:val="center"/>
          </w:tcPr>
          <w:p w14:paraId="5E278E61"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sz w:val="16"/>
                <w:szCs w:val="16"/>
              </w:rPr>
              <w:t>I</w:t>
            </w:r>
            <w:r w:rsidRPr="00092FC6">
              <w:rPr>
                <w:rFonts w:ascii="Arial" w:hAnsi="Arial" w:cs="Arial"/>
                <w:caps w:val="0"/>
                <w:sz w:val="16"/>
                <w:szCs w:val="16"/>
              </w:rPr>
              <w:t>g</w:t>
            </w:r>
            <w:r w:rsidRPr="00092FC6">
              <w:rPr>
                <w:rFonts w:ascii="Arial" w:hAnsi="Arial" w:cs="Arial"/>
                <w:sz w:val="16"/>
                <w:szCs w:val="16"/>
              </w:rPr>
              <w:t xml:space="preserve">M </w:t>
            </w:r>
            <w:r w:rsidRPr="00092FC6">
              <w:rPr>
                <w:rFonts w:ascii="Arial" w:hAnsi="Arial" w:cs="Arial"/>
                <w:caps w:val="0"/>
                <w:sz w:val="16"/>
                <w:szCs w:val="16"/>
              </w:rPr>
              <w:t xml:space="preserve">capture </w:t>
            </w:r>
            <w:r w:rsidRPr="00092FC6">
              <w:rPr>
                <w:rFonts w:ascii="Arial" w:hAnsi="Arial" w:cs="Arial"/>
                <w:sz w:val="16"/>
                <w:szCs w:val="16"/>
              </w:rPr>
              <w:t>ELISA</w:t>
            </w:r>
          </w:p>
        </w:tc>
        <w:tc>
          <w:tcPr>
            <w:tcW w:w="990" w:type="dxa"/>
            <w:tcBorders>
              <w:top w:val="single" w:sz="6" w:space="0" w:color="auto"/>
              <w:left w:val="single" w:sz="6" w:space="0" w:color="auto"/>
              <w:bottom w:val="single" w:sz="4" w:space="0" w:color="auto"/>
            </w:tcBorders>
            <w:vAlign w:val="center"/>
          </w:tcPr>
          <w:p w14:paraId="2E8DFFD2" w14:textId="77777777" w:rsidR="007932E8" w:rsidRPr="00092FC6" w:rsidRDefault="007932E8" w:rsidP="00CA4F5C">
            <w:pPr>
              <w:pStyle w:val="A0"/>
              <w:spacing w:before="120" w:after="120"/>
              <w:rPr>
                <w:rFonts w:ascii="Arial" w:hAnsi="Arial" w:cs="Arial"/>
                <w:sz w:val="16"/>
                <w:szCs w:val="16"/>
              </w:rPr>
            </w:pPr>
            <w:r w:rsidRPr="00092FC6">
              <w:rPr>
                <w:rFonts w:ascii="Arial" w:hAnsi="Arial" w:cs="Arial"/>
                <w:sz w:val="16"/>
                <w:szCs w:val="16"/>
              </w:rPr>
              <w:t>–</w:t>
            </w:r>
          </w:p>
        </w:tc>
        <w:tc>
          <w:tcPr>
            <w:tcW w:w="1328" w:type="dxa"/>
            <w:tcBorders>
              <w:top w:val="single" w:sz="6" w:space="0" w:color="auto"/>
              <w:left w:val="single" w:sz="6" w:space="0" w:color="auto"/>
              <w:bottom w:val="single" w:sz="4" w:space="0" w:color="auto"/>
            </w:tcBorders>
            <w:vAlign w:val="center"/>
          </w:tcPr>
          <w:p w14:paraId="189BFA4D"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134" w:type="dxa"/>
            <w:tcBorders>
              <w:top w:val="single" w:sz="6" w:space="0" w:color="auto"/>
              <w:left w:val="single" w:sz="6" w:space="0" w:color="auto"/>
              <w:bottom w:val="single" w:sz="4" w:space="0" w:color="auto"/>
            </w:tcBorders>
            <w:vAlign w:val="center"/>
          </w:tcPr>
          <w:p w14:paraId="32DE1BBD" w14:textId="5A52FA50" w:rsidR="007932E8" w:rsidRPr="00092FC6" w:rsidRDefault="00CC27BC" w:rsidP="00CA4F5C">
            <w:pPr>
              <w:pStyle w:val="A0"/>
              <w:spacing w:before="120" w:after="120"/>
              <w:rPr>
                <w:rFonts w:ascii="Arial" w:hAnsi="Arial" w:cs="Arial"/>
                <w:b w:val="0"/>
                <w:caps w:val="0"/>
                <w:sz w:val="16"/>
                <w:szCs w:val="16"/>
              </w:rPr>
            </w:pPr>
            <w:r w:rsidRPr="00092FC6">
              <w:rPr>
                <w:sz w:val="16"/>
                <w:szCs w:val="16"/>
              </w:rPr>
              <w:t>–</w:t>
            </w:r>
          </w:p>
        </w:tc>
        <w:tc>
          <w:tcPr>
            <w:tcW w:w="1134" w:type="dxa"/>
            <w:tcBorders>
              <w:top w:val="single" w:sz="6" w:space="0" w:color="auto"/>
              <w:left w:val="single" w:sz="6" w:space="0" w:color="auto"/>
              <w:bottom w:val="single" w:sz="4" w:space="0" w:color="auto"/>
            </w:tcBorders>
            <w:vAlign w:val="center"/>
          </w:tcPr>
          <w:p w14:paraId="0DDAEB3E"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134" w:type="dxa"/>
            <w:tcBorders>
              <w:top w:val="single" w:sz="6" w:space="0" w:color="auto"/>
              <w:left w:val="single" w:sz="6" w:space="0" w:color="auto"/>
              <w:bottom w:val="single" w:sz="4" w:space="0" w:color="auto"/>
            </w:tcBorders>
            <w:vAlign w:val="center"/>
          </w:tcPr>
          <w:p w14:paraId="227F6B3D"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750" w:type="dxa"/>
            <w:tcBorders>
              <w:top w:val="single" w:sz="6" w:space="0" w:color="auto"/>
              <w:left w:val="single" w:sz="6" w:space="0" w:color="auto"/>
              <w:bottom w:val="single" w:sz="4" w:space="0" w:color="auto"/>
              <w:right w:val="single" w:sz="6" w:space="0" w:color="auto"/>
            </w:tcBorders>
            <w:vAlign w:val="center"/>
          </w:tcPr>
          <w:p w14:paraId="0D41C21A"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r>
      <w:tr w:rsidR="00470354" w:rsidRPr="00092FC6" w14:paraId="38437F01" w14:textId="77777777" w:rsidTr="00F22AF3">
        <w:trPr>
          <w:trHeight w:val="402"/>
          <w:jc w:val="center"/>
        </w:trPr>
        <w:tc>
          <w:tcPr>
            <w:tcW w:w="1639" w:type="dxa"/>
            <w:tcBorders>
              <w:top w:val="single" w:sz="4" w:space="0" w:color="auto"/>
              <w:left w:val="single" w:sz="6" w:space="0" w:color="auto"/>
              <w:bottom w:val="single" w:sz="4" w:space="0" w:color="auto"/>
            </w:tcBorders>
            <w:vAlign w:val="center"/>
          </w:tcPr>
          <w:p w14:paraId="1CF59321"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caps w:val="0"/>
                <w:sz w:val="16"/>
                <w:szCs w:val="16"/>
              </w:rPr>
              <w:t>Plaque reduction neutralisation</w:t>
            </w:r>
          </w:p>
        </w:tc>
        <w:tc>
          <w:tcPr>
            <w:tcW w:w="990" w:type="dxa"/>
            <w:tcBorders>
              <w:top w:val="single" w:sz="4" w:space="0" w:color="auto"/>
              <w:left w:val="single" w:sz="6" w:space="0" w:color="auto"/>
              <w:bottom w:val="single" w:sz="4" w:space="0" w:color="auto"/>
            </w:tcBorders>
            <w:vAlign w:val="center"/>
          </w:tcPr>
          <w:p w14:paraId="141A13CF"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328" w:type="dxa"/>
            <w:tcBorders>
              <w:top w:val="single" w:sz="4" w:space="0" w:color="auto"/>
              <w:left w:val="single" w:sz="6" w:space="0" w:color="auto"/>
              <w:bottom w:val="single" w:sz="4" w:space="0" w:color="auto"/>
            </w:tcBorders>
            <w:vAlign w:val="center"/>
          </w:tcPr>
          <w:p w14:paraId="4776B63A"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134" w:type="dxa"/>
            <w:tcBorders>
              <w:top w:val="single" w:sz="4" w:space="0" w:color="auto"/>
              <w:left w:val="single" w:sz="6" w:space="0" w:color="auto"/>
              <w:bottom w:val="single" w:sz="4" w:space="0" w:color="auto"/>
            </w:tcBorders>
            <w:vAlign w:val="center"/>
          </w:tcPr>
          <w:p w14:paraId="3039BA98" w14:textId="54C7FE2E" w:rsidR="007932E8" w:rsidRPr="00092FC6" w:rsidRDefault="00CC27BC" w:rsidP="00CA4F5C">
            <w:pPr>
              <w:pStyle w:val="A0"/>
              <w:spacing w:before="120" w:after="120"/>
              <w:rPr>
                <w:rFonts w:ascii="Arial" w:hAnsi="Arial" w:cs="Arial"/>
                <w:b w:val="0"/>
                <w:caps w:val="0"/>
                <w:sz w:val="16"/>
                <w:szCs w:val="16"/>
              </w:rPr>
            </w:pPr>
            <w:r w:rsidRPr="00092FC6">
              <w:rPr>
                <w:sz w:val="16"/>
                <w:szCs w:val="16"/>
              </w:rPr>
              <w:t>–</w:t>
            </w:r>
          </w:p>
        </w:tc>
        <w:tc>
          <w:tcPr>
            <w:tcW w:w="1134" w:type="dxa"/>
            <w:tcBorders>
              <w:top w:val="single" w:sz="4" w:space="0" w:color="auto"/>
              <w:left w:val="single" w:sz="6" w:space="0" w:color="auto"/>
              <w:bottom w:val="single" w:sz="4" w:space="0" w:color="auto"/>
            </w:tcBorders>
            <w:vAlign w:val="center"/>
          </w:tcPr>
          <w:p w14:paraId="31B825CC"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134" w:type="dxa"/>
            <w:tcBorders>
              <w:top w:val="single" w:sz="4" w:space="0" w:color="auto"/>
              <w:left w:val="single" w:sz="6" w:space="0" w:color="auto"/>
              <w:bottom w:val="single" w:sz="4" w:space="0" w:color="auto"/>
            </w:tcBorders>
            <w:vAlign w:val="center"/>
          </w:tcPr>
          <w:p w14:paraId="008ECF04"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750" w:type="dxa"/>
            <w:tcBorders>
              <w:top w:val="single" w:sz="4" w:space="0" w:color="auto"/>
              <w:left w:val="single" w:sz="6" w:space="0" w:color="auto"/>
              <w:bottom w:val="single" w:sz="4" w:space="0" w:color="auto"/>
              <w:right w:val="single" w:sz="6" w:space="0" w:color="auto"/>
            </w:tcBorders>
            <w:vAlign w:val="center"/>
          </w:tcPr>
          <w:p w14:paraId="01A88002"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r>
      <w:tr w:rsidR="00470354" w:rsidRPr="00092FC6" w14:paraId="043744E8" w14:textId="77777777" w:rsidTr="00F22AF3">
        <w:trPr>
          <w:trHeight w:val="402"/>
          <w:jc w:val="center"/>
        </w:trPr>
        <w:tc>
          <w:tcPr>
            <w:tcW w:w="1639" w:type="dxa"/>
            <w:tcBorders>
              <w:top w:val="single" w:sz="4" w:space="0" w:color="auto"/>
              <w:left w:val="single" w:sz="6" w:space="0" w:color="auto"/>
              <w:bottom w:val="single" w:sz="4" w:space="0" w:color="auto"/>
            </w:tcBorders>
            <w:vAlign w:val="center"/>
          </w:tcPr>
          <w:p w14:paraId="106C2A22" w14:textId="198CE521" w:rsidR="007932E8" w:rsidRPr="00092FC6" w:rsidRDefault="007932E8" w:rsidP="00CA4F5C">
            <w:pPr>
              <w:pStyle w:val="A0"/>
              <w:spacing w:before="120" w:after="120"/>
              <w:rPr>
                <w:rFonts w:ascii="Arial" w:hAnsi="Arial" w:cs="Arial"/>
                <w:b w:val="0"/>
                <w:sz w:val="16"/>
                <w:szCs w:val="16"/>
              </w:rPr>
            </w:pPr>
            <w:r w:rsidRPr="00092FC6">
              <w:rPr>
                <w:rFonts w:ascii="Arial" w:hAnsi="Arial" w:cs="Arial"/>
                <w:caps w:val="0"/>
                <w:sz w:val="16"/>
                <w:szCs w:val="16"/>
              </w:rPr>
              <w:t>H</w:t>
            </w:r>
            <w:r w:rsidR="00F22AF3" w:rsidRPr="00F22AF3">
              <w:rPr>
                <w:rFonts w:ascii="Arial" w:hAnsi="Arial" w:cs="Arial"/>
                <w:caps w:val="0"/>
                <w:sz w:val="16"/>
                <w:szCs w:val="16"/>
                <w:u w:val="double"/>
              </w:rPr>
              <w:t>a</w:t>
            </w:r>
            <w:r w:rsidRPr="00092FC6">
              <w:rPr>
                <w:rFonts w:ascii="Arial" w:hAnsi="Arial" w:cs="Arial"/>
                <w:caps w:val="0"/>
                <w:sz w:val="16"/>
                <w:szCs w:val="16"/>
              </w:rPr>
              <w:t xml:space="preserve">emagglutination inhibition </w:t>
            </w:r>
            <w:r w:rsidRPr="00092FC6">
              <w:rPr>
                <w:rFonts w:ascii="Arial" w:hAnsi="Arial" w:cs="Arial"/>
                <w:caps w:val="0"/>
                <w:sz w:val="16"/>
                <w:szCs w:val="16"/>
              </w:rPr>
              <w:br/>
              <w:t>(paired samples)</w:t>
            </w:r>
          </w:p>
        </w:tc>
        <w:tc>
          <w:tcPr>
            <w:tcW w:w="990" w:type="dxa"/>
            <w:tcBorders>
              <w:top w:val="single" w:sz="4" w:space="0" w:color="auto"/>
              <w:left w:val="single" w:sz="6" w:space="0" w:color="auto"/>
              <w:bottom w:val="single" w:sz="4" w:space="0" w:color="auto"/>
            </w:tcBorders>
            <w:vAlign w:val="center"/>
          </w:tcPr>
          <w:p w14:paraId="209920A3"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328" w:type="dxa"/>
            <w:tcBorders>
              <w:top w:val="single" w:sz="4" w:space="0" w:color="auto"/>
              <w:left w:val="single" w:sz="6" w:space="0" w:color="auto"/>
              <w:bottom w:val="single" w:sz="4" w:space="0" w:color="auto"/>
            </w:tcBorders>
            <w:vAlign w:val="center"/>
          </w:tcPr>
          <w:p w14:paraId="2D85CF3A"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134" w:type="dxa"/>
            <w:tcBorders>
              <w:top w:val="single" w:sz="4" w:space="0" w:color="auto"/>
              <w:left w:val="single" w:sz="6" w:space="0" w:color="auto"/>
              <w:bottom w:val="single" w:sz="4" w:space="0" w:color="auto"/>
            </w:tcBorders>
            <w:vAlign w:val="center"/>
          </w:tcPr>
          <w:p w14:paraId="016BBEE3" w14:textId="609AFD85" w:rsidR="007932E8" w:rsidRPr="00092FC6" w:rsidRDefault="00CC27BC" w:rsidP="00CA4F5C">
            <w:pPr>
              <w:pStyle w:val="A0"/>
              <w:spacing w:before="120" w:after="120"/>
              <w:rPr>
                <w:rFonts w:ascii="Arial" w:hAnsi="Arial" w:cs="Arial"/>
                <w:b w:val="0"/>
                <w:caps w:val="0"/>
                <w:sz w:val="16"/>
                <w:szCs w:val="16"/>
              </w:rPr>
            </w:pPr>
            <w:r w:rsidRPr="00092FC6">
              <w:rPr>
                <w:sz w:val="16"/>
                <w:szCs w:val="16"/>
              </w:rPr>
              <w:t>–</w:t>
            </w:r>
          </w:p>
        </w:tc>
        <w:tc>
          <w:tcPr>
            <w:tcW w:w="1134" w:type="dxa"/>
            <w:tcBorders>
              <w:top w:val="single" w:sz="4" w:space="0" w:color="auto"/>
              <w:left w:val="single" w:sz="6" w:space="0" w:color="auto"/>
              <w:bottom w:val="single" w:sz="4" w:space="0" w:color="auto"/>
            </w:tcBorders>
            <w:vAlign w:val="center"/>
          </w:tcPr>
          <w:p w14:paraId="1D86C3A3"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134" w:type="dxa"/>
            <w:tcBorders>
              <w:top w:val="single" w:sz="4" w:space="0" w:color="auto"/>
              <w:left w:val="single" w:sz="6" w:space="0" w:color="auto"/>
              <w:bottom w:val="single" w:sz="4" w:space="0" w:color="auto"/>
            </w:tcBorders>
            <w:vAlign w:val="center"/>
          </w:tcPr>
          <w:p w14:paraId="560C0E65"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750" w:type="dxa"/>
            <w:tcBorders>
              <w:top w:val="single" w:sz="4" w:space="0" w:color="auto"/>
              <w:left w:val="single" w:sz="6" w:space="0" w:color="auto"/>
              <w:bottom w:val="single" w:sz="4" w:space="0" w:color="auto"/>
              <w:right w:val="single" w:sz="6" w:space="0" w:color="auto"/>
            </w:tcBorders>
            <w:vAlign w:val="center"/>
          </w:tcPr>
          <w:p w14:paraId="2791174A"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r>
      <w:tr w:rsidR="00470354" w:rsidRPr="00092FC6" w14:paraId="4E00CC2B" w14:textId="77777777" w:rsidTr="00F22AF3">
        <w:trPr>
          <w:trHeight w:val="402"/>
          <w:jc w:val="center"/>
        </w:trPr>
        <w:tc>
          <w:tcPr>
            <w:tcW w:w="1639" w:type="dxa"/>
            <w:tcBorders>
              <w:top w:val="single" w:sz="4" w:space="0" w:color="auto"/>
              <w:left w:val="single" w:sz="6" w:space="0" w:color="auto"/>
              <w:bottom w:val="single" w:sz="6" w:space="0" w:color="auto"/>
            </w:tcBorders>
            <w:vAlign w:val="center"/>
          </w:tcPr>
          <w:p w14:paraId="575B35A5" w14:textId="77777777" w:rsidR="007932E8" w:rsidRPr="00092FC6" w:rsidRDefault="007932E8" w:rsidP="00346969">
            <w:pPr>
              <w:keepNext/>
              <w:keepLines/>
              <w:spacing w:before="120" w:after="120" w:line="240" w:lineRule="auto"/>
              <w:jc w:val="center"/>
              <w:rPr>
                <w:rFonts w:ascii="Arial" w:hAnsi="Arial" w:cs="Arial"/>
                <w:b/>
                <w:sz w:val="16"/>
                <w:szCs w:val="16"/>
              </w:rPr>
            </w:pPr>
            <w:r w:rsidRPr="00092FC6">
              <w:rPr>
                <w:rFonts w:ascii="Arial" w:hAnsi="Arial" w:cs="Arial"/>
                <w:b/>
                <w:sz w:val="16"/>
                <w:szCs w:val="16"/>
              </w:rPr>
              <w:lastRenderedPageBreak/>
              <w:t xml:space="preserve">Complement fixation </w:t>
            </w:r>
            <w:r w:rsidRPr="00092FC6">
              <w:rPr>
                <w:rFonts w:ascii="Arial" w:hAnsi="Arial" w:cs="Arial"/>
                <w:b/>
                <w:sz w:val="16"/>
                <w:szCs w:val="16"/>
              </w:rPr>
              <w:br/>
              <w:t>(paired samples)</w:t>
            </w:r>
          </w:p>
        </w:tc>
        <w:tc>
          <w:tcPr>
            <w:tcW w:w="990" w:type="dxa"/>
            <w:tcBorders>
              <w:top w:val="single" w:sz="4" w:space="0" w:color="auto"/>
              <w:left w:val="single" w:sz="6" w:space="0" w:color="auto"/>
              <w:bottom w:val="single" w:sz="6" w:space="0" w:color="auto"/>
            </w:tcBorders>
            <w:vAlign w:val="center"/>
          </w:tcPr>
          <w:p w14:paraId="6125F213" w14:textId="77777777" w:rsidR="007932E8" w:rsidRPr="00092FC6" w:rsidRDefault="007932E8" w:rsidP="00CA4F5C">
            <w:pPr>
              <w:pStyle w:val="Tabletext"/>
              <w:rPr>
                <w:sz w:val="16"/>
                <w:szCs w:val="16"/>
                <w:lang w:val="en-GB"/>
              </w:rPr>
            </w:pPr>
            <w:r w:rsidRPr="00092FC6">
              <w:rPr>
                <w:sz w:val="16"/>
                <w:szCs w:val="16"/>
                <w:lang w:val="en-GB"/>
              </w:rPr>
              <w:t>–</w:t>
            </w:r>
          </w:p>
        </w:tc>
        <w:tc>
          <w:tcPr>
            <w:tcW w:w="1328" w:type="dxa"/>
            <w:tcBorders>
              <w:top w:val="single" w:sz="4" w:space="0" w:color="auto"/>
              <w:left w:val="single" w:sz="6" w:space="0" w:color="auto"/>
              <w:bottom w:val="single" w:sz="6" w:space="0" w:color="auto"/>
            </w:tcBorders>
            <w:vAlign w:val="center"/>
          </w:tcPr>
          <w:p w14:paraId="07C4BBC4" w14:textId="77777777" w:rsidR="007932E8" w:rsidRPr="00092FC6" w:rsidRDefault="007932E8" w:rsidP="00CA4F5C">
            <w:pPr>
              <w:pStyle w:val="Tabletext"/>
              <w:rPr>
                <w:sz w:val="16"/>
                <w:szCs w:val="16"/>
                <w:lang w:val="en-GB"/>
              </w:rPr>
            </w:pPr>
            <w:r w:rsidRPr="00092FC6">
              <w:rPr>
                <w:sz w:val="16"/>
                <w:szCs w:val="16"/>
                <w:lang w:val="en-GB"/>
              </w:rPr>
              <w:t>+</w:t>
            </w:r>
          </w:p>
        </w:tc>
        <w:tc>
          <w:tcPr>
            <w:tcW w:w="1134" w:type="dxa"/>
            <w:tcBorders>
              <w:top w:val="single" w:sz="4" w:space="0" w:color="auto"/>
              <w:left w:val="single" w:sz="6" w:space="0" w:color="auto"/>
              <w:bottom w:val="single" w:sz="6" w:space="0" w:color="auto"/>
            </w:tcBorders>
            <w:vAlign w:val="center"/>
          </w:tcPr>
          <w:p w14:paraId="21640128" w14:textId="56E3BF93" w:rsidR="007932E8" w:rsidRPr="00092FC6" w:rsidRDefault="00CC27BC" w:rsidP="00CA4F5C">
            <w:pPr>
              <w:pStyle w:val="Tabletext"/>
              <w:rPr>
                <w:sz w:val="16"/>
                <w:szCs w:val="16"/>
                <w:lang w:val="en-GB"/>
              </w:rPr>
            </w:pPr>
            <w:r w:rsidRPr="00092FC6">
              <w:rPr>
                <w:sz w:val="16"/>
                <w:szCs w:val="16"/>
                <w:lang w:val="en-GB"/>
              </w:rPr>
              <w:t>–</w:t>
            </w:r>
          </w:p>
        </w:tc>
        <w:tc>
          <w:tcPr>
            <w:tcW w:w="1134" w:type="dxa"/>
            <w:tcBorders>
              <w:top w:val="single" w:sz="4" w:space="0" w:color="auto"/>
              <w:left w:val="single" w:sz="6" w:space="0" w:color="auto"/>
              <w:bottom w:val="single" w:sz="6" w:space="0" w:color="auto"/>
            </w:tcBorders>
            <w:vAlign w:val="center"/>
          </w:tcPr>
          <w:p w14:paraId="148D22CB" w14:textId="77777777" w:rsidR="007932E8" w:rsidRPr="00092FC6" w:rsidRDefault="007932E8" w:rsidP="00CA4F5C">
            <w:pPr>
              <w:pStyle w:val="Tabletext"/>
              <w:rPr>
                <w:sz w:val="16"/>
                <w:szCs w:val="16"/>
                <w:lang w:val="en-GB"/>
              </w:rPr>
            </w:pPr>
            <w:r w:rsidRPr="00092FC6">
              <w:rPr>
                <w:sz w:val="16"/>
                <w:szCs w:val="16"/>
                <w:lang w:val="en-GB"/>
              </w:rPr>
              <w:t>++</w:t>
            </w:r>
          </w:p>
        </w:tc>
        <w:tc>
          <w:tcPr>
            <w:tcW w:w="1134" w:type="dxa"/>
            <w:tcBorders>
              <w:top w:val="single" w:sz="4" w:space="0" w:color="auto"/>
              <w:left w:val="single" w:sz="6" w:space="0" w:color="auto"/>
              <w:bottom w:val="single" w:sz="6" w:space="0" w:color="auto"/>
            </w:tcBorders>
            <w:vAlign w:val="center"/>
          </w:tcPr>
          <w:p w14:paraId="057C6F43" w14:textId="77777777" w:rsidR="007932E8" w:rsidRPr="00092FC6" w:rsidRDefault="007932E8" w:rsidP="00CA4F5C">
            <w:pPr>
              <w:pStyle w:val="Tabletext"/>
              <w:rPr>
                <w:sz w:val="16"/>
                <w:szCs w:val="16"/>
                <w:lang w:val="en-GB"/>
              </w:rPr>
            </w:pPr>
            <w:r w:rsidRPr="00092FC6">
              <w:rPr>
                <w:sz w:val="16"/>
                <w:szCs w:val="16"/>
                <w:lang w:val="en-GB"/>
              </w:rPr>
              <w:t>–</w:t>
            </w:r>
          </w:p>
        </w:tc>
        <w:tc>
          <w:tcPr>
            <w:tcW w:w="1750" w:type="dxa"/>
            <w:tcBorders>
              <w:top w:val="single" w:sz="4" w:space="0" w:color="auto"/>
              <w:left w:val="single" w:sz="6" w:space="0" w:color="auto"/>
              <w:bottom w:val="single" w:sz="6" w:space="0" w:color="auto"/>
              <w:right w:val="single" w:sz="6" w:space="0" w:color="auto"/>
            </w:tcBorders>
            <w:vAlign w:val="center"/>
          </w:tcPr>
          <w:p w14:paraId="11C50295" w14:textId="77777777" w:rsidR="007932E8" w:rsidRPr="00092FC6" w:rsidRDefault="007932E8" w:rsidP="00CA4F5C">
            <w:pPr>
              <w:pStyle w:val="Tabletext"/>
              <w:rPr>
                <w:sz w:val="16"/>
                <w:szCs w:val="16"/>
                <w:lang w:val="en-GB"/>
              </w:rPr>
            </w:pPr>
            <w:r w:rsidRPr="00092FC6">
              <w:rPr>
                <w:sz w:val="16"/>
                <w:szCs w:val="16"/>
                <w:lang w:val="en-GB"/>
              </w:rPr>
              <w:t>–</w:t>
            </w:r>
          </w:p>
        </w:tc>
      </w:tr>
    </w:tbl>
    <w:p w14:paraId="0FA576C0" w14:textId="31914C9D" w:rsidR="007932E8" w:rsidRPr="00092FC6" w:rsidRDefault="00CC27BC" w:rsidP="007932E8">
      <w:pPr>
        <w:pStyle w:val="Textebrut"/>
        <w:spacing w:before="120"/>
        <w:jc w:val="center"/>
        <w:rPr>
          <w:rFonts w:ascii="Arial" w:eastAsia="Times New Roman" w:hAnsi="Arial" w:cs="Arial"/>
          <w:sz w:val="16"/>
          <w:szCs w:val="16"/>
          <w:lang w:eastAsia="fr-FR"/>
        </w:rPr>
      </w:pPr>
      <w:r w:rsidRPr="00BF625B">
        <w:rPr>
          <w:rFonts w:ascii="Arial" w:hAnsi="Arial" w:cs="Arial"/>
          <w:color w:val="000000"/>
          <w:sz w:val="16"/>
          <w:szCs w:val="16"/>
        </w:rPr>
        <w:t xml:space="preserve">Key: +++ = </w:t>
      </w:r>
      <w:r>
        <w:rPr>
          <w:rFonts w:ascii="Arial" w:hAnsi="Arial" w:cs="Arial"/>
          <w:color w:val="000000"/>
          <w:sz w:val="16"/>
          <w:szCs w:val="16"/>
        </w:rPr>
        <w:t>recommended for this purpose; ++ recommended but has limitations</w:t>
      </w:r>
      <w:r w:rsidRPr="00BF625B">
        <w:rPr>
          <w:rFonts w:ascii="Arial" w:hAnsi="Arial" w:cs="Arial"/>
          <w:color w:val="000000"/>
          <w:sz w:val="16"/>
          <w:szCs w:val="16"/>
        </w:rPr>
        <w:t xml:space="preserve">; </w:t>
      </w:r>
      <w:r>
        <w:rPr>
          <w:rFonts w:ascii="Arial" w:hAnsi="Arial" w:cs="Arial"/>
          <w:color w:val="000000"/>
          <w:sz w:val="16"/>
          <w:szCs w:val="16"/>
        </w:rPr>
        <w:br/>
      </w:r>
      <w:r w:rsidRPr="00BF625B">
        <w:rPr>
          <w:rFonts w:ascii="Arial" w:hAnsi="Arial" w:cs="Arial"/>
          <w:color w:val="000000"/>
          <w:sz w:val="16"/>
          <w:szCs w:val="16"/>
        </w:rPr>
        <w:t xml:space="preserve">+ = </w:t>
      </w:r>
      <w:r>
        <w:rPr>
          <w:rFonts w:ascii="Arial" w:hAnsi="Arial" w:cs="Arial"/>
          <w:color w:val="000000"/>
          <w:sz w:val="16"/>
          <w:szCs w:val="16"/>
        </w:rPr>
        <w:t>suitable in very limited circumstances</w:t>
      </w:r>
      <w:r w:rsidRPr="00BF625B">
        <w:rPr>
          <w:rFonts w:ascii="Arial" w:hAnsi="Arial" w:cs="Arial"/>
          <w:sz w:val="16"/>
          <w:szCs w:val="16"/>
        </w:rPr>
        <w:t xml:space="preserve">; </w:t>
      </w:r>
      <w:r w:rsidRPr="00BF625B">
        <w:rPr>
          <w:rFonts w:ascii="Arial" w:hAnsi="Arial" w:cs="Arial"/>
          <w:color w:val="000000"/>
          <w:sz w:val="16"/>
          <w:szCs w:val="16"/>
        </w:rPr>
        <w:t>– = not appropriate for this purpose</w:t>
      </w:r>
      <w:r>
        <w:rPr>
          <w:rFonts w:ascii="Arial" w:hAnsi="Arial" w:cs="Arial"/>
          <w:color w:val="000000"/>
          <w:sz w:val="16"/>
          <w:szCs w:val="16"/>
        </w:rPr>
        <w:t xml:space="preserve">. </w:t>
      </w:r>
      <w:r w:rsidR="007932E8" w:rsidRPr="00092FC6">
        <w:rPr>
          <w:rFonts w:ascii="Arial" w:eastAsia="Times New Roman" w:hAnsi="Arial" w:cs="Arial"/>
          <w:sz w:val="16"/>
          <w:szCs w:val="16"/>
          <w:lang w:eastAsia="fr-FR"/>
        </w:rPr>
        <w:br/>
        <w:t>– = not appropriate for this purpose; n/a = purpose not applicable.</w:t>
      </w:r>
      <w:r w:rsidR="00FF40F9" w:rsidRPr="00092FC6">
        <w:rPr>
          <w:rFonts w:ascii="Arial" w:eastAsia="Times New Roman" w:hAnsi="Arial" w:cs="Arial"/>
          <w:sz w:val="16"/>
          <w:szCs w:val="16"/>
          <w:lang w:eastAsia="fr-FR"/>
        </w:rPr>
        <w:t xml:space="preserve"> </w:t>
      </w:r>
    </w:p>
    <w:p w14:paraId="1A1D0117" w14:textId="3FA1F8DE" w:rsidR="000640B4" w:rsidRPr="00092FC6" w:rsidRDefault="007932E8" w:rsidP="007932E8">
      <w:pPr>
        <w:pStyle w:val="paraA0"/>
        <w:jc w:val="center"/>
        <w:rPr>
          <w:b/>
          <w:sz w:val="16"/>
          <w:lang w:val="en-IE"/>
        </w:rPr>
      </w:pPr>
      <w:r w:rsidRPr="00092FC6">
        <w:rPr>
          <w:sz w:val="16"/>
          <w:szCs w:val="16"/>
        </w:rPr>
        <w:t>RT-PCR = reverse-</w:t>
      </w:r>
      <w:r w:rsidR="00FF40F9" w:rsidRPr="00092FC6">
        <w:rPr>
          <w:sz w:val="16"/>
          <w:szCs w:val="16"/>
        </w:rPr>
        <w:t xml:space="preserve">transcription </w:t>
      </w:r>
      <w:r w:rsidRPr="00092FC6">
        <w:rPr>
          <w:sz w:val="16"/>
          <w:szCs w:val="16"/>
        </w:rPr>
        <w:t>polymerase chain reaction;</w:t>
      </w:r>
      <w:r w:rsidRPr="00092FC6">
        <w:rPr>
          <w:sz w:val="16"/>
          <w:szCs w:val="16"/>
        </w:rPr>
        <w:br/>
        <w:t>IgM ELISA = immunoglobulin M enzyme-linked immunosorbent assay.</w:t>
      </w:r>
    </w:p>
    <w:p w14:paraId="65BF8CB8" w14:textId="5652586D" w:rsidR="001B68A1" w:rsidRPr="00092FC6" w:rsidRDefault="001B68A1" w:rsidP="007932E8">
      <w:pPr>
        <w:pStyle w:val="1"/>
      </w:pPr>
      <w:r w:rsidRPr="00092FC6">
        <w:t>1.</w:t>
      </w:r>
      <w:r w:rsidRPr="00092FC6">
        <w:tab/>
      </w:r>
      <w:r w:rsidR="00E929CD" w:rsidRPr="00C12449">
        <w:rPr>
          <w:strike/>
        </w:rPr>
        <w:t xml:space="preserve">Identification </w:t>
      </w:r>
      <w:r w:rsidR="00E929CD" w:rsidRPr="00C12449">
        <w:rPr>
          <w:u w:val="double"/>
        </w:rPr>
        <w:t>Detection</w:t>
      </w:r>
      <w:r w:rsidR="00E929CD">
        <w:t xml:space="preserve"> </w:t>
      </w:r>
      <w:bookmarkStart w:id="0" w:name="_GoBack"/>
      <w:bookmarkEnd w:id="0"/>
      <w:r w:rsidRPr="00092FC6">
        <w:t>of the agent</w:t>
      </w:r>
    </w:p>
    <w:p w14:paraId="6044B64B" w14:textId="7C5F2C9E" w:rsidR="00513671" w:rsidRPr="00092FC6" w:rsidRDefault="00513671" w:rsidP="00513671">
      <w:pPr>
        <w:pStyle w:val="11"/>
      </w:pPr>
      <w:r w:rsidRPr="00092FC6">
        <w:rPr>
          <w:lang w:val="it-IT"/>
        </w:rPr>
        <w:t>1.1.</w:t>
      </w:r>
      <w:r w:rsidRPr="00092FC6">
        <w:rPr>
          <w:lang w:val="it-IT"/>
        </w:rPr>
        <w:tab/>
      </w:r>
      <w:r w:rsidRPr="00092FC6">
        <w:rPr>
          <w:i/>
          <w:iCs/>
          <w:lang w:val="it-IT"/>
        </w:rPr>
        <w:t>In-vitro</w:t>
      </w:r>
      <w:r w:rsidRPr="00092FC6">
        <w:rPr>
          <w:lang w:val="it-IT"/>
        </w:rPr>
        <w:t xml:space="preserve"> and </w:t>
      </w:r>
      <w:r w:rsidRPr="00092FC6">
        <w:rPr>
          <w:i/>
          <w:iCs/>
          <w:lang w:val="it-IT"/>
        </w:rPr>
        <w:t>in-vivo</w:t>
      </w:r>
      <w:r w:rsidRPr="00092FC6">
        <w:rPr>
          <w:lang w:val="it-IT"/>
        </w:rPr>
        <w:t xml:space="preserve"> culture</w:t>
      </w:r>
    </w:p>
    <w:p w14:paraId="733979AF" w14:textId="77777777" w:rsidR="00B04614" w:rsidRDefault="001B68A1" w:rsidP="007932E8">
      <w:pPr>
        <w:pStyle w:val="11Para"/>
      </w:pPr>
      <w:r w:rsidRPr="00092FC6">
        <w:t>The definitive method fo</w:t>
      </w:r>
      <w:r w:rsidR="001B21A8" w:rsidRPr="00092FC6">
        <w:t>r diagnosis of EEE or WEE is virus</w:t>
      </w:r>
      <w:r w:rsidRPr="00092FC6">
        <w:t xml:space="preserve"> isolation</w:t>
      </w:r>
      <w:r w:rsidR="001B21A8" w:rsidRPr="00092FC6">
        <w:t xml:space="preserve"> </w:t>
      </w:r>
      <w:r w:rsidR="00DF3703" w:rsidRPr="00092FC6">
        <w:t>followed by</w:t>
      </w:r>
      <w:r w:rsidR="001B21A8" w:rsidRPr="00092FC6">
        <w:t xml:space="preserve"> typing</w:t>
      </w:r>
      <w:r w:rsidRPr="00092FC6">
        <w:t>. EEE virus can usually be isolated from the brains of horses, unless more than 5 days have elapsed between the appearance of clinical signs and the death of the horse. EEE virus can frequently be isolated from brain tissue even in the presence of a high serum</w:t>
      </w:r>
      <w:r w:rsidR="00FA1C86" w:rsidRPr="00092FC6">
        <w:t xml:space="preserve"> </w:t>
      </w:r>
      <w:r w:rsidRPr="00092FC6">
        <w:t xml:space="preserve">antibody titre. WEE virus is rarely isolated from tissues of infected horses. Brain is the tissue of choice for virus isolation, but the virus has been isolated from other tissues, such as the liver and spleen. </w:t>
      </w:r>
    </w:p>
    <w:p w14:paraId="008665FC" w14:textId="7EFE13B9" w:rsidR="001B68A1" w:rsidRPr="00092FC6" w:rsidRDefault="001B21A8" w:rsidP="007932E8">
      <w:pPr>
        <w:pStyle w:val="11Para"/>
      </w:pPr>
      <w:r w:rsidRPr="00092FC6">
        <w:t xml:space="preserve">During VEE infection, viraemia coincides with the onset of pyrexia within 12–24 hours of infection. Viraemia usually terminates 5–6 days after </w:t>
      </w:r>
      <w:r w:rsidR="005976A1" w:rsidRPr="00092FC6">
        <w:t xml:space="preserve">the </w:t>
      </w:r>
      <w:r w:rsidRPr="00092FC6">
        <w:t xml:space="preserve">onset of infection, and coincides with the production of neutralising antibodies and the appearance of clinical neurological signs. Frequently, VEE viruses cannot be isolated from the brains of infected equids. Blood samples for virus isolation should be collected from febrile animals that are closely associated with clinical encephalitic cases. </w:t>
      </w:r>
      <w:r w:rsidR="001B68A1" w:rsidRPr="00092FC6">
        <w:t>It is recommended that a set of these tissues be collected in duplicate, one set for virus isolation and the other set in formalin for histopathological examination. Specimens for virus isolation should be sent refrigerated if they can be received in the laboratory within 48</w:t>
      </w:r>
      <w:r w:rsidR="00982A42" w:rsidRPr="00092FC6">
        <w:t> </w:t>
      </w:r>
      <w:r w:rsidR="001B68A1" w:rsidRPr="00092FC6">
        <w:t>hours of collection; otherwise, they should be frozen and sent with dry ice. A complete set of tissues will allow the performance of diagnostic techniques for other diseases. For isolation, a 10% suspension of tissue is prepared in phosphate buffered saline (PBS), pH</w:t>
      </w:r>
      <w:r w:rsidR="00982A42" w:rsidRPr="00092FC6">
        <w:t> </w:t>
      </w:r>
      <w:r w:rsidR="001B68A1" w:rsidRPr="00092FC6">
        <w:t>7.8, containing bovine serum albumin (BSA) (fraction V; 0.75%), penicillin (100</w:t>
      </w:r>
      <w:r w:rsidR="00982A42" w:rsidRPr="00092FC6">
        <w:t> </w:t>
      </w:r>
      <w:r w:rsidR="001B68A1" w:rsidRPr="00092FC6">
        <w:t>units/ml), and streptomycin (100</w:t>
      </w:r>
      <w:r w:rsidR="00982A42" w:rsidRPr="00092FC6">
        <w:t> </w:t>
      </w:r>
      <w:r w:rsidR="001B68A1" w:rsidRPr="00092FC6">
        <w:t>µg/ml). The suspension is clarified by centrifugation at 1500</w:t>
      </w:r>
      <w:r w:rsidR="00982A42" w:rsidRPr="00092FC6">
        <w:t> </w:t>
      </w:r>
      <w:r w:rsidR="001B68A1" w:rsidRPr="00092FC6">
        <w:rPr>
          <w:b/>
          <w:i/>
        </w:rPr>
        <w:t>g</w:t>
      </w:r>
      <w:r w:rsidR="001B68A1" w:rsidRPr="00092FC6">
        <w:t xml:space="preserve"> for 30</w:t>
      </w:r>
      <w:r w:rsidR="00982A42" w:rsidRPr="00092FC6">
        <w:t> </w:t>
      </w:r>
      <w:r w:rsidR="001B68A1" w:rsidRPr="00092FC6">
        <w:t>minutes.</w:t>
      </w:r>
    </w:p>
    <w:p w14:paraId="3F0320AE" w14:textId="46556E02" w:rsidR="00897E00" w:rsidRPr="00092FC6" w:rsidRDefault="00897E00" w:rsidP="007932E8">
      <w:pPr>
        <w:pStyle w:val="11Para"/>
      </w:pPr>
      <w:r w:rsidRPr="00092FC6">
        <w:t>EEE</w:t>
      </w:r>
      <w:r w:rsidR="001B21A8" w:rsidRPr="00092FC6">
        <w:t>,</w:t>
      </w:r>
      <w:r w:rsidRPr="00092FC6">
        <w:t xml:space="preserve"> WEE</w:t>
      </w:r>
      <w:r w:rsidR="001B21A8" w:rsidRPr="00092FC6">
        <w:t xml:space="preserve"> and VEE</w:t>
      </w:r>
      <w:r w:rsidRPr="00092FC6">
        <w:t xml:space="preserve"> viruses can be isolated in a number of cell culture systems. The most commonly used cell cultures are primary chicken or duck embryo fibroblasts, continuous cell lines of African green monkey kidney (Vero), rabbit kidney (RK-13), or baby hamster kidney (BHK-21). Isolation is usually attempted in 25 cm</w:t>
      </w:r>
      <w:r w:rsidRPr="00092FC6">
        <w:rPr>
          <w:vertAlign w:val="superscript"/>
        </w:rPr>
        <w:t>2</w:t>
      </w:r>
      <w:r w:rsidRPr="00092FC6">
        <w:t xml:space="preserve"> cell culture flasks. Confluent cells are inoculated wit</w:t>
      </w:r>
      <w:r w:rsidR="00982A42" w:rsidRPr="00092FC6">
        <w:t xml:space="preserve">h 1.0 ml of tissue suspension. </w:t>
      </w:r>
      <w:r w:rsidRPr="00092FC6">
        <w:t>Following a 1–2-hour absorption period,</w:t>
      </w:r>
      <w:r w:rsidR="001B21A8" w:rsidRPr="00092FC6">
        <w:t xml:space="preserve"> cell monolayer is rinsed</w:t>
      </w:r>
      <w:r w:rsidR="00A8757B" w:rsidRPr="00092FC6">
        <w:t xml:space="preserve"> twice</w:t>
      </w:r>
      <w:r w:rsidR="001B21A8" w:rsidRPr="00092FC6">
        <w:t xml:space="preserve"> with culture medium, and </w:t>
      </w:r>
      <w:r w:rsidRPr="00092FC6">
        <w:t xml:space="preserve">maintenance medium is added. Cultures are incubated for </w:t>
      </w:r>
      <w:r w:rsidR="003E26F7" w:rsidRPr="00092FC6">
        <w:t>6</w:t>
      </w:r>
      <w:r w:rsidR="00982A42" w:rsidRPr="00092FC6">
        <w:t>–</w:t>
      </w:r>
      <w:r w:rsidR="003E26F7" w:rsidRPr="00092FC6">
        <w:t>8</w:t>
      </w:r>
      <w:r w:rsidR="00982A42" w:rsidRPr="00092FC6">
        <w:t> </w:t>
      </w:r>
      <w:r w:rsidRPr="00092FC6">
        <w:t>days, and one blind passage is made. EEE</w:t>
      </w:r>
      <w:r w:rsidR="00A8757B" w:rsidRPr="00092FC6">
        <w:t>,</w:t>
      </w:r>
      <w:r w:rsidRPr="00092FC6">
        <w:t xml:space="preserve"> WEE</w:t>
      </w:r>
      <w:r w:rsidR="00A8757B" w:rsidRPr="00092FC6">
        <w:t xml:space="preserve"> and VEE</w:t>
      </w:r>
      <w:r w:rsidRPr="00092FC6">
        <w:t xml:space="preserve"> viruses will produce a cytopathic change in cell culture. Cultures that appear to be infected are frozen. The fluid from the thawed cultures is used for virus identification.</w:t>
      </w:r>
    </w:p>
    <w:p w14:paraId="76098C86" w14:textId="485CF21C" w:rsidR="001B68A1" w:rsidRPr="00346969" w:rsidRDefault="001B68A1" w:rsidP="007932E8">
      <w:pPr>
        <w:pStyle w:val="11Para"/>
        <w:rPr>
          <w:strike/>
        </w:rPr>
      </w:pPr>
      <w:r w:rsidRPr="00346969">
        <w:rPr>
          <w:strike/>
        </w:rPr>
        <w:t xml:space="preserve">The newborn mouse is </w:t>
      </w:r>
      <w:r w:rsidR="00897E00" w:rsidRPr="00346969">
        <w:rPr>
          <w:strike/>
        </w:rPr>
        <w:t xml:space="preserve">also </w:t>
      </w:r>
      <w:r w:rsidRPr="00346969">
        <w:rPr>
          <w:strike/>
        </w:rPr>
        <w:t>considered to be a sensitive host system. Inoculate intracranially one or two litters of</w:t>
      </w:r>
      <w:r w:rsidR="00897E00" w:rsidRPr="00346969">
        <w:rPr>
          <w:strike/>
        </w:rPr>
        <w:t xml:space="preserve"> </w:t>
      </w:r>
      <w:r w:rsidRPr="00346969">
        <w:rPr>
          <w:strike/>
        </w:rPr>
        <w:t>1–4-day-old</w:t>
      </w:r>
      <w:r w:rsidR="00897E00" w:rsidRPr="00346969">
        <w:rPr>
          <w:strike/>
        </w:rPr>
        <w:t xml:space="preserve"> </w:t>
      </w:r>
      <w:r w:rsidRPr="00346969">
        <w:rPr>
          <w:strike/>
        </w:rPr>
        <w:t>mice with 0.02</w:t>
      </w:r>
      <w:r w:rsidR="00982A42" w:rsidRPr="00346969">
        <w:rPr>
          <w:strike/>
        </w:rPr>
        <w:t> </w:t>
      </w:r>
      <w:r w:rsidRPr="00346969">
        <w:rPr>
          <w:strike/>
        </w:rPr>
        <w:t>ml of inoculum using a 26-gauge 3/8 inch (9.3</w:t>
      </w:r>
      <w:r w:rsidR="00982A42" w:rsidRPr="00346969">
        <w:rPr>
          <w:strike/>
        </w:rPr>
        <w:t> </w:t>
      </w:r>
      <w:r w:rsidRPr="00346969">
        <w:rPr>
          <w:strike/>
        </w:rPr>
        <w:t>mm) needle attached to a 1</w:t>
      </w:r>
      <w:r w:rsidR="00982A42" w:rsidRPr="00346969">
        <w:rPr>
          <w:strike/>
        </w:rPr>
        <w:t> </w:t>
      </w:r>
      <w:r w:rsidRPr="00346969">
        <w:rPr>
          <w:strike/>
        </w:rPr>
        <w:t>ml tuberculin syringe. The inoculation site is just lateral to the midline into the midportion of one lateral hemisphere. Mice are observed for 10</w:t>
      </w:r>
      <w:r w:rsidR="00982A42" w:rsidRPr="00346969">
        <w:rPr>
          <w:strike/>
        </w:rPr>
        <w:t> </w:t>
      </w:r>
      <w:r w:rsidRPr="00346969">
        <w:rPr>
          <w:strike/>
        </w:rPr>
        <w:t>days</w:t>
      </w:r>
      <w:r w:rsidR="00B47618" w:rsidRPr="00346969">
        <w:rPr>
          <w:strike/>
        </w:rPr>
        <w:t>. Mice that die within 24</w:t>
      </w:r>
      <w:r w:rsidR="00982A42" w:rsidRPr="00346969">
        <w:rPr>
          <w:strike/>
        </w:rPr>
        <w:t> </w:t>
      </w:r>
      <w:r w:rsidR="00B47618" w:rsidRPr="00346969">
        <w:rPr>
          <w:strike/>
        </w:rPr>
        <w:t>hours of inoculation are discarded. From 2</w:t>
      </w:r>
      <w:r w:rsidR="00982A42" w:rsidRPr="00346969">
        <w:rPr>
          <w:strike/>
        </w:rPr>
        <w:t xml:space="preserve"> to </w:t>
      </w:r>
      <w:r w:rsidR="00B47618" w:rsidRPr="00346969">
        <w:rPr>
          <w:strike/>
        </w:rPr>
        <w:t>10</w:t>
      </w:r>
      <w:r w:rsidR="00982A42" w:rsidRPr="00346969">
        <w:rPr>
          <w:strike/>
        </w:rPr>
        <w:t> </w:t>
      </w:r>
      <w:r w:rsidR="00B47618" w:rsidRPr="00346969">
        <w:rPr>
          <w:strike/>
        </w:rPr>
        <w:t>days post</w:t>
      </w:r>
      <w:r w:rsidR="005976A1" w:rsidRPr="00346969">
        <w:rPr>
          <w:strike/>
        </w:rPr>
        <w:t>-</w:t>
      </w:r>
      <w:r w:rsidR="00B47618" w:rsidRPr="00346969">
        <w:rPr>
          <w:strike/>
        </w:rPr>
        <w:t>inoculation, d</w:t>
      </w:r>
      <w:r w:rsidRPr="00346969">
        <w:rPr>
          <w:strike/>
        </w:rPr>
        <w:t xml:space="preserve">ead mice are collected daily and frozen at </w:t>
      </w:r>
      <w:r w:rsidR="00AF24AD" w:rsidRPr="00346969">
        <w:rPr>
          <w:strike/>
        </w:rPr>
        <w:t>–</w:t>
      </w:r>
      <w:r w:rsidRPr="00346969">
        <w:rPr>
          <w:strike/>
        </w:rPr>
        <w:t>70°C. Mouse brains are harvested for virus identification by aspiration using a 20-gauge 1</w:t>
      </w:r>
      <w:r w:rsidR="00982A42" w:rsidRPr="00346969">
        <w:rPr>
          <w:strike/>
        </w:rPr>
        <w:t> </w:t>
      </w:r>
      <w:r w:rsidRPr="00346969">
        <w:rPr>
          <w:strike/>
        </w:rPr>
        <w:t>inch (2.5</w:t>
      </w:r>
      <w:r w:rsidR="00982A42" w:rsidRPr="00346969">
        <w:rPr>
          <w:strike/>
        </w:rPr>
        <w:t> </w:t>
      </w:r>
      <w:r w:rsidRPr="00346969">
        <w:rPr>
          <w:strike/>
        </w:rPr>
        <w:t>cm) needle attached to a 1</w:t>
      </w:r>
      <w:r w:rsidR="00982A42" w:rsidRPr="00346969">
        <w:rPr>
          <w:strike/>
        </w:rPr>
        <w:t> </w:t>
      </w:r>
      <w:r w:rsidRPr="00346969">
        <w:rPr>
          <w:strike/>
        </w:rPr>
        <w:t xml:space="preserve">ml tuberculin syringe. A second passage is made only if virus cannot be identified from mice </w:t>
      </w:r>
      <w:r w:rsidR="006C7589" w:rsidRPr="00346969">
        <w:rPr>
          <w:strike/>
        </w:rPr>
        <w:t>that die following inoculation.</w:t>
      </w:r>
    </w:p>
    <w:p w14:paraId="6760E9C3" w14:textId="29B98F1F" w:rsidR="001B68A1" w:rsidRPr="00092FC6" w:rsidRDefault="001B68A1" w:rsidP="007932E8">
      <w:pPr>
        <w:pStyle w:val="11Para"/>
      </w:pPr>
      <w:r w:rsidRPr="00346969">
        <w:rPr>
          <w:strike/>
        </w:rPr>
        <w:lastRenderedPageBreak/>
        <w:t>The chicken embryo is considered to be less sensitive than newborn mice when used for primary isolation of EEE</w:t>
      </w:r>
      <w:r w:rsidR="00A8757B" w:rsidRPr="00346969">
        <w:rPr>
          <w:strike/>
        </w:rPr>
        <w:t>,</w:t>
      </w:r>
      <w:r w:rsidR="005D7229" w:rsidRPr="00346969">
        <w:rPr>
          <w:strike/>
        </w:rPr>
        <w:t xml:space="preserve"> </w:t>
      </w:r>
      <w:r w:rsidRPr="00346969">
        <w:rPr>
          <w:strike/>
        </w:rPr>
        <w:t>WEE</w:t>
      </w:r>
      <w:r w:rsidR="00A8757B" w:rsidRPr="00346969">
        <w:rPr>
          <w:strike/>
        </w:rPr>
        <w:t xml:space="preserve"> or VEE</w:t>
      </w:r>
      <w:r w:rsidRPr="00346969">
        <w:rPr>
          <w:strike/>
        </w:rPr>
        <w:t xml:space="preserve"> viruses. </w:t>
      </w:r>
      <w:r w:rsidRPr="00346969">
        <w:t>Tissue suspensions can be inoculated by the yolk-sac route into 6–8-day-old embryonating chicken eggs. There are no diagnostic signs or lesions in the embryos infected with these viruses. Inoculated embryos</w:t>
      </w:r>
      <w:r w:rsidRPr="00092FC6">
        <w:t xml:space="preserve"> should be incubated for 7</w:t>
      </w:r>
      <w:r w:rsidR="00982A42" w:rsidRPr="00092FC6">
        <w:t> </w:t>
      </w:r>
      <w:r w:rsidRPr="00092FC6">
        <w:t>days, but deaths usually occur between 2</w:t>
      </w:r>
      <w:r w:rsidR="00251CCB">
        <w:t> </w:t>
      </w:r>
      <w:r w:rsidRPr="00092FC6">
        <w:t>and 4</w:t>
      </w:r>
      <w:r w:rsidR="00982A42" w:rsidRPr="00092FC6">
        <w:t> </w:t>
      </w:r>
      <w:r w:rsidRPr="00092FC6">
        <w:t>days post-inoculation. Usually only one passage is made unless there are dead embryos</w:t>
      </w:r>
      <w:r w:rsidR="00326B91" w:rsidRPr="00326B91">
        <w:rPr>
          <w:u w:val="double"/>
        </w:rPr>
        <w:t>,</w:t>
      </w:r>
      <w:r w:rsidRPr="00092FC6">
        <w:t xml:space="preserve"> from which virus cannot be isolated. Newly hatched chickens are susceptible and have been used for virus isolation. If this method is used, precautions must be taken to prevent aerosol exposure of laboratory personnel, as infected birds can shed highly infectious virus.</w:t>
      </w:r>
    </w:p>
    <w:p w14:paraId="651C86F5" w14:textId="2C28E3D7" w:rsidR="005B76EB" w:rsidRPr="00092FC6" w:rsidRDefault="005B76EB" w:rsidP="00BE0F1D">
      <w:pPr>
        <w:pStyle w:val="11Para"/>
      </w:pPr>
      <w:r w:rsidRPr="00092FC6">
        <w:t xml:space="preserve">Viral </w:t>
      </w:r>
      <w:r w:rsidR="001870C3" w:rsidRPr="00092FC6">
        <w:t>i</w:t>
      </w:r>
      <w:r w:rsidRPr="00092FC6">
        <w:t xml:space="preserve">solates can be identified by </w:t>
      </w:r>
      <w:r w:rsidR="005976A1" w:rsidRPr="00092FC6">
        <w:t>reverse-transcriptase polymerase chain reaction (RT-PCR)</w:t>
      </w:r>
      <w:r w:rsidRPr="00092FC6">
        <w:t xml:space="preserve">, by direct or indirect fluorescent antibody test, or by </w:t>
      </w:r>
      <w:r w:rsidR="005976A1" w:rsidRPr="00092FC6">
        <w:t>plaque reduction neutralisation (PRN)</w:t>
      </w:r>
      <w:r w:rsidRPr="00092FC6">
        <w:t xml:space="preserve"> tests using polyclonal or monoclonal antibodies to specific viruses obtained commercially or prepared via hyperimmuni</w:t>
      </w:r>
      <w:r w:rsidR="00E121A7" w:rsidRPr="00092FC6">
        <w:t>s</w:t>
      </w:r>
      <w:r w:rsidRPr="00092FC6">
        <w:t xml:space="preserve">ation of animals with further collection of their serum (or ascetic fluid in case of mice) and purification of </w:t>
      </w:r>
      <w:r w:rsidR="00B04614" w:rsidRPr="00286FF7">
        <w:t>immunoglobulins</w:t>
      </w:r>
      <w:r w:rsidRPr="00092FC6">
        <w:t>.</w:t>
      </w:r>
    </w:p>
    <w:p w14:paraId="0DD0C033" w14:textId="4E5A8A17" w:rsidR="00513671" w:rsidRPr="00092FC6" w:rsidRDefault="00513671" w:rsidP="00513671">
      <w:pPr>
        <w:pStyle w:val="11"/>
        <w:rPr>
          <w:spacing w:val="-2"/>
        </w:rPr>
      </w:pPr>
      <w:r w:rsidRPr="00092FC6">
        <w:rPr>
          <w:lang w:val="en-IE"/>
        </w:rPr>
        <w:t>1.2.</w:t>
      </w:r>
      <w:r w:rsidRPr="00092FC6">
        <w:rPr>
          <w:lang w:val="en-IE"/>
        </w:rPr>
        <w:tab/>
      </w:r>
      <w:r w:rsidRPr="00092FC6">
        <w:t>Molecular methods – detection of nucleic acid</w:t>
      </w:r>
    </w:p>
    <w:p w14:paraId="3DD9EFF0" w14:textId="0F698D18" w:rsidR="00BE0F1D" w:rsidRPr="00092FC6" w:rsidRDefault="00BE0F1D" w:rsidP="00BE0F1D">
      <w:pPr>
        <w:pStyle w:val="111"/>
        <w:rPr>
          <w:spacing w:val="-2"/>
        </w:rPr>
      </w:pPr>
      <w:r w:rsidRPr="00092FC6">
        <w:rPr>
          <w:lang w:val="en-IE"/>
        </w:rPr>
        <w:t>1.2.1.</w:t>
      </w:r>
      <w:r w:rsidRPr="00092FC6">
        <w:rPr>
          <w:lang w:val="en-IE"/>
        </w:rPr>
        <w:tab/>
        <w:t>Conventional reverse-</w:t>
      </w:r>
      <w:r w:rsidRPr="00843EA9">
        <w:rPr>
          <w:strike/>
          <w:lang w:val="en-IE"/>
        </w:rPr>
        <w:t>transcript</w:t>
      </w:r>
      <w:r w:rsidR="005976A1" w:rsidRPr="00843EA9">
        <w:rPr>
          <w:strike/>
          <w:lang w:val="en-IE"/>
        </w:rPr>
        <w:t>ase</w:t>
      </w:r>
      <w:r w:rsidRPr="00092FC6">
        <w:rPr>
          <w:lang w:val="en-IE"/>
        </w:rPr>
        <w:t xml:space="preserve"> </w:t>
      </w:r>
      <w:r w:rsidR="00EC2E89" w:rsidRPr="00843EA9">
        <w:rPr>
          <w:u w:val="double"/>
          <w:lang w:val="en-IE"/>
        </w:rPr>
        <w:t>transcription</w:t>
      </w:r>
      <w:r w:rsidR="00EC2E89" w:rsidRPr="00092FC6">
        <w:rPr>
          <w:lang w:val="en-IE"/>
        </w:rPr>
        <w:t xml:space="preserve"> </w:t>
      </w:r>
      <w:r w:rsidRPr="00092FC6">
        <w:rPr>
          <w:lang w:val="en-IE"/>
        </w:rPr>
        <w:t>PCR</w:t>
      </w:r>
    </w:p>
    <w:p w14:paraId="2DBED869" w14:textId="5853AE54" w:rsidR="00835913" w:rsidRPr="00092FC6" w:rsidRDefault="005B76EB" w:rsidP="00BE0F1D">
      <w:pPr>
        <w:pStyle w:val="111Para"/>
      </w:pPr>
      <w:r w:rsidRPr="00092FC6">
        <w:t xml:space="preserve">Several methods of </w:t>
      </w:r>
      <w:r w:rsidR="00E72248" w:rsidRPr="00092FC6">
        <w:t>RT-</w:t>
      </w:r>
      <w:r w:rsidR="00541689" w:rsidRPr="00092FC6">
        <w:t>PCR</w:t>
      </w:r>
      <w:r w:rsidRPr="00092FC6">
        <w:t xml:space="preserve"> for detection of</w:t>
      </w:r>
      <w:r w:rsidR="00B10439" w:rsidRPr="00092FC6">
        <w:t xml:space="preserve"> </w:t>
      </w:r>
      <w:r w:rsidR="00E72248" w:rsidRPr="00092FC6">
        <w:t xml:space="preserve">EEE, WEE </w:t>
      </w:r>
      <w:r w:rsidRPr="00092FC6">
        <w:t>or</w:t>
      </w:r>
      <w:r w:rsidR="0042108E" w:rsidRPr="00092FC6">
        <w:t xml:space="preserve"> </w:t>
      </w:r>
      <w:r w:rsidR="00E72248" w:rsidRPr="00092FC6">
        <w:t>VEE</w:t>
      </w:r>
      <w:r w:rsidR="00B916DD" w:rsidRPr="00092FC6">
        <w:t xml:space="preserve"> viral</w:t>
      </w:r>
      <w:r w:rsidR="00E72248" w:rsidRPr="00092FC6">
        <w:t xml:space="preserve"> </w:t>
      </w:r>
      <w:r w:rsidRPr="00092FC6">
        <w:t>RNA</w:t>
      </w:r>
      <w:r w:rsidR="00541689" w:rsidRPr="00092FC6">
        <w:t xml:space="preserve"> in mosquitoes and vertebrate tissues have been described</w:t>
      </w:r>
      <w:r w:rsidR="00131DEB" w:rsidRPr="00092FC6">
        <w:t>,</w:t>
      </w:r>
      <w:r w:rsidR="00B10439" w:rsidRPr="00092FC6">
        <w:t xml:space="preserve"> although few have been extensively validated for </w:t>
      </w:r>
      <w:r w:rsidR="00131DEB" w:rsidRPr="00092FC6">
        <w:t>mammalian sa</w:t>
      </w:r>
      <w:r w:rsidR="00B10439" w:rsidRPr="00092FC6">
        <w:t>mples</w:t>
      </w:r>
      <w:r w:rsidR="00131DEB" w:rsidRPr="00092FC6">
        <w:t xml:space="preserve"> (</w:t>
      </w:r>
      <w:r w:rsidR="001517EB" w:rsidRPr="00092FC6">
        <w:t xml:space="preserve">Linssen </w:t>
      </w:r>
      <w:r w:rsidR="00E23CBC" w:rsidRPr="00092FC6">
        <w:rPr>
          <w:i/>
        </w:rPr>
        <w:t>et al</w:t>
      </w:r>
      <w:r w:rsidR="001517EB" w:rsidRPr="00092FC6">
        <w:t>., 2000</w:t>
      </w:r>
      <w:r w:rsidR="00144CF3" w:rsidRPr="00092FC6">
        <w:t>;</w:t>
      </w:r>
      <w:r w:rsidR="00131DEB" w:rsidRPr="00092FC6">
        <w:t xml:space="preserve"> </w:t>
      </w:r>
      <w:r w:rsidR="00E23CBC" w:rsidRPr="00092FC6">
        <w:t xml:space="preserve">Monroy </w:t>
      </w:r>
      <w:r w:rsidR="00E23CBC" w:rsidRPr="00092FC6">
        <w:rPr>
          <w:i/>
        </w:rPr>
        <w:t>et al</w:t>
      </w:r>
      <w:r w:rsidR="00E23CBC" w:rsidRPr="00092FC6">
        <w:t>., 1996</w:t>
      </w:r>
      <w:r w:rsidR="00144CF3" w:rsidRPr="00092FC6">
        <w:t>;</w:t>
      </w:r>
      <w:r w:rsidR="00131DEB" w:rsidRPr="00092FC6">
        <w:t xml:space="preserve"> </w:t>
      </w:r>
      <w:r w:rsidR="001517EB" w:rsidRPr="00092FC6">
        <w:t xml:space="preserve">Vodkin </w:t>
      </w:r>
      <w:r w:rsidR="00E23CBC" w:rsidRPr="00092FC6">
        <w:rPr>
          <w:i/>
        </w:rPr>
        <w:t>et al</w:t>
      </w:r>
      <w:r w:rsidR="001517EB" w:rsidRPr="00092FC6">
        <w:t>., 1993</w:t>
      </w:r>
      <w:r w:rsidR="00131DEB" w:rsidRPr="00092FC6">
        <w:t>)</w:t>
      </w:r>
      <w:r w:rsidR="00982A42" w:rsidRPr="00092FC6">
        <w:t xml:space="preserve">. </w:t>
      </w:r>
      <w:r w:rsidR="00346C01" w:rsidRPr="00092FC6">
        <w:t>A m</w:t>
      </w:r>
      <w:r w:rsidR="00E768D0" w:rsidRPr="00092FC6">
        <w:t>ultiplex</w:t>
      </w:r>
      <w:r w:rsidR="005A6188" w:rsidRPr="00092FC6">
        <w:t xml:space="preserve"> nested</w:t>
      </w:r>
      <w:r w:rsidR="00E768D0" w:rsidRPr="00092FC6">
        <w:t xml:space="preserve"> </w:t>
      </w:r>
      <w:r w:rsidR="00E95328" w:rsidRPr="00092FC6">
        <w:t>RT-</w:t>
      </w:r>
      <w:r w:rsidR="00E768D0" w:rsidRPr="00092FC6">
        <w:t xml:space="preserve">PCR method </w:t>
      </w:r>
      <w:r w:rsidR="00346C01" w:rsidRPr="00092FC6">
        <w:t>was</w:t>
      </w:r>
      <w:r w:rsidR="000D5B16" w:rsidRPr="00092FC6">
        <w:t xml:space="preserve"> developed to expedite differential diagnosis </w:t>
      </w:r>
      <w:r w:rsidR="00B10439" w:rsidRPr="00092FC6">
        <w:t xml:space="preserve">in cases of suspected </w:t>
      </w:r>
      <w:r w:rsidR="00346C01" w:rsidRPr="00092FC6">
        <w:t xml:space="preserve">EEE or West Nile </w:t>
      </w:r>
      <w:r w:rsidR="00B10439" w:rsidRPr="00092FC6">
        <w:t xml:space="preserve">arboviral encephalomyelitis in </w:t>
      </w:r>
      <w:r w:rsidR="00131DEB" w:rsidRPr="00092FC6">
        <w:t>horses</w:t>
      </w:r>
      <w:r w:rsidR="0042108E" w:rsidRPr="00092FC6">
        <w:t xml:space="preserve"> (</w:t>
      </w:r>
      <w:r w:rsidR="001517EB" w:rsidRPr="00092FC6">
        <w:t xml:space="preserve">Johnson </w:t>
      </w:r>
      <w:r w:rsidR="00E23CBC" w:rsidRPr="00092FC6">
        <w:rPr>
          <w:i/>
        </w:rPr>
        <w:t>et al</w:t>
      </w:r>
      <w:r w:rsidR="001517EB" w:rsidRPr="00092FC6">
        <w:t>., 2003</w:t>
      </w:r>
      <w:r w:rsidR="0042108E" w:rsidRPr="00092FC6">
        <w:t>)</w:t>
      </w:r>
      <w:r w:rsidR="00131DEB" w:rsidRPr="00092FC6">
        <w:t xml:space="preserve">. </w:t>
      </w:r>
      <w:r w:rsidR="0042108E" w:rsidRPr="00092FC6">
        <w:t xml:space="preserve">The assay has enhanced speed and sensitivity compared </w:t>
      </w:r>
      <w:r w:rsidR="00823A51" w:rsidRPr="00092FC6">
        <w:t>with</w:t>
      </w:r>
      <w:r w:rsidR="0042108E" w:rsidRPr="00092FC6">
        <w:t xml:space="preserve"> cell culture virus isolation and has </w:t>
      </w:r>
      <w:r w:rsidR="00B10439" w:rsidRPr="00092FC6">
        <w:t xml:space="preserve">been </w:t>
      </w:r>
      <w:r w:rsidR="0042108E" w:rsidRPr="00092FC6">
        <w:t xml:space="preserve">used </w:t>
      </w:r>
      <w:r w:rsidR="00F64E23" w:rsidRPr="00092FC6">
        <w:t xml:space="preserve">extensively </w:t>
      </w:r>
      <w:r w:rsidR="00B10439" w:rsidRPr="00092FC6">
        <w:t>in the US</w:t>
      </w:r>
      <w:r w:rsidR="005A6188" w:rsidRPr="00092FC6">
        <w:t xml:space="preserve"> NVSL</w:t>
      </w:r>
      <w:r w:rsidR="00B1320E">
        <w:rPr>
          <w:rStyle w:val="Appelnotedebasdep"/>
        </w:rPr>
        <w:footnoteReference w:id="5"/>
      </w:r>
      <w:r w:rsidR="00B10439" w:rsidRPr="00092FC6">
        <w:t xml:space="preserve"> during sev</w:t>
      </w:r>
      <w:r w:rsidR="00982A42" w:rsidRPr="00092FC6">
        <w:t xml:space="preserve">eral </w:t>
      </w:r>
      <w:r w:rsidR="00F64E23" w:rsidRPr="00092FC6">
        <w:t xml:space="preserve">subsequent </w:t>
      </w:r>
      <w:r w:rsidR="00982A42" w:rsidRPr="00092FC6">
        <w:t>arbovirus seasons.</w:t>
      </w:r>
      <w:r w:rsidR="005A6188" w:rsidRPr="00092FC6">
        <w:t xml:space="preserve"> Primer sequences used at NVSL </w:t>
      </w:r>
      <w:r w:rsidR="00306987" w:rsidRPr="00092FC6">
        <w:t xml:space="preserve">for detection of EEE, WEE and VEE viral RNA </w:t>
      </w:r>
      <w:r w:rsidR="005A6188" w:rsidRPr="00092FC6">
        <w:t xml:space="preserve">are shown in Table 2. The first reaction is performed in one </w:t>
      </w:r>
      <w:r w:rsidR="003F170C" w:rsidRPr="00092FC6">
        <w:t>tube</w:t>
      </w:r>
      <w:r w:rsidR="005A6188" w:rsidRPr="00092FC6">
        <w:t xml:space="preserve"> and starts with reverse transcription at 46</w:t>
      </w:r>
      <w:r w:rsidR="005D7229" w:rsidRPr="00092FC6">
        <w:t>–</w:t>
      </w:r>
      <w:r w:rsidR="005A6188" w:rsidRPr="00092FC6">
        <w:t>50</w:t>
      </w:r>
      <w:r w:rsidR="005D7229" w:rsidRPr="00092FC6">
        <w:t xml:space="preserve">°C </w:t>
      </w:r>
      <w:r w:rsidR="005A6188" w:rsidRPr="00092FC6">
        <w:t xml:space="preserve">(depending on the </w:t>
      </w:r>
      <w:r w:rsidR="00DC5930" w:rsidRPr="00092FC6">
        <w:t xml:space="preserve">optimum temperature range of the </w:t>
      </w:r>
      <w:r w:rsidR="005A6188" w:rsidRPr="00092FC6">
        <w:t xml:space="preserve">enzyme used) </w:t>
      </w:r>
      <w:r w:rsidR="00C32822" w:rsidRPr="00092FC6">
        <w:t>for</w:t>
      </w:r>
      <w:r w:rsidR="005A6188" w:rsidRPr="00092FC6">
        <w:t xml:space="preserve"> 30 min</w:t>
      </w:r>
      <w:r w:rsidR="005D7229" w:rsidRPr="00092FC6">
        <w:t>utes</w:t>
      </w:r>
      <w:r w:rsidR="006A4308" w:rsidRPr="00092FC6">
        <w:t xml:space="preserve"> followed by polymerase activation at 95</w:t>
      </w:r>
      <w:r w:rsidR="005D7229" w:rsidRPr="00092FC6">
        <w:t>°</w:t>
      </w:r>
      <w:r w:rsidR="006A4308" w:rsidRPr="00092FC6">
        <w:rPr>
          <w:lang w:val="ru-RU"/>
        </w:rPr>
        <w:t>С</w:t>
      </w:r>
      <w:r w:rsidR="006A4308" w:rsidRPr="00092FC6">
        <w:rPr>
          <w:lang w:val="en-US"/>
        </w:rPr>
        <w:t xml:space="preserve"> </w:t>
      </w:r>
      <w:r w:rsidR="00C32822" w:rsidRPr="00092FC6">
        <w:rPr>
          <w:lang w:val="en-US"/>
        </w:rPr>
        <w:t>for</w:t>
      </w:r>
      <w:r w:rsidR="006A4308" w:rsidRPr="00092FC6">
        <w:rPr>
          <w:lang w:val="en-US"/>
        </w:rPr>
        <w:t xml:space="preserve"> 15 </w:t>
      </w:r>
      <w:r w:rsidR="005D7229" w:rsidRPr="00092FC6">
        <w:t>minutes</w:t>
      </w:r>
      <w:r w:rsidR="005976A1" w:rsidRPr="00092FC6">
        <w:rPr>
          <w:lang w:val="en-US"/>
        </w:rPr>
        <w:t>. Then, 35 </w:t>
      </w:r>
      <w:r w:rsidR="006A4308" w:rsidRPr="00092FC6">
        <w:rPr>
          <w:lang w:val="en-US"/>
        </w:rPr>
        <w:t>cycles consisting of denaturation at 94</w:t>
      </w:r>
      <w:r w:rsidR="005D7229" w:rsidRPr="00092FC6">
        <w:rPr>
          <w:lang w:val="en-US"/>
        </w:rPr>
        <w:t xml:space="preserve">°C </w:t>
      </w:r>
      <w:r w:rsidR="002D5A69" w:rsidRPr="00092FC6">
        <w:rPr>
          <w:lang w:val="en-US"/>
        </w:rPr>
        <w:t>for</w:t>
      </w:r>
      <w:r w:rsidR="006A4308" w:rsidRPr="00092FC6">
        <w:rPr>
          <w:lang w:val="en-US"/>
        </w:rPr>
        <w:t xml:space="preserve"> 45</w:t>
      </w:r>
      <w:r w:rsidR="007F14E4">
        <w:rPr>
          <w:lang w:val="en-US"/>
        </w:rPr>
        <w:t> </w:t>
      </w:r>
      <w:r w:rsidR="006A4308" w:rsidRPr="00092FC6">
        <w:rPr>
          <w:lang w:val="en-US"/>
        </w:rPr>
        <w:t>sec</w:t>
      </w:r>
      <w:r w:rsidR="005D7229" w:rsidRPr="00092FC6">
        <w:rPr>
          <w:lang w:val="en-US"/>
        </w:rPr>
        <w:t>onds</w:t>
      </w:r>
      <w:r w:rsidR="006A4308" w:rsidRPr="00092FC6">
        <w:rPr>
          <w:lang w:val="en-US"/>
        </w:rPr>
        <w:t>; annealing at 58</w:t>
      </w:r>
      <w:r w:rsidR="005D7229" w:rsidRPr="00092FC6">
        <w:rPr>
          <w:lang w:val="en-US"/>
        </w:rPr>
        <w:t xml:space="preserve">°C </w:t>
      </w:r>
      <w:r w:rsidR="002D5A69" w:rsidRPr="00092FC6">
        <w:rPr>
          <w:lang w:val="en-US"/>
        </w:rPr>
        <w:t>for</w:t>
      </w:r>
      <w:r w:rsidR="006A4308" w:rsidRPr="00092FC6">
        <w:rPr>
          <w:lang w:val="en-US"/>
        </w:rPr>
        <w:t xml:space="preserve"> 45 sec</w:t>
      </w:r>
      <w:r w:rsidR="005D7229" w:rsidRPr="00092FC6">
        <w:rPr>
          <w:lang w:val="en-US"/>
        </w:rPr>
        <w:t>onds</w:t>
      </w:r>
      <w:r w:rsidR="006A4308" w:rsidRPr="00092FC6">
        <w:rPr>
          <w:lang w:val="en-US"/>
        </w:rPr>
        <w:t>, and elongation at 72</w:t>
      </w:r>
      <w:r w:rsidR="005D7229" w:rsidRPr="00092FC6">
        <w:rPr>
          <w:lang w:val="en-US"/>
        </w:rPr>
        <w:t xml:space="preserve">°C </w:t>
      </w:r>
      <w:r w:rsidR="002D5A69" w:rsidRPr="00092FC6">
        <w:rPr>
          <w:lang w:val="en-US"/>
        </w:rPr>
        <w:t>for</w:t>
      </w:r>
      <w:r w:rsidR="006A4308" w:rsidRPr="00092FC6">
        <w:rPr>
          <w:lang w:val="en-US"/>
        </w:rPr>
        <w:t xml:space="preserve"> 1 min</w:t>
      </w:r>
      <w:r w:rsidR="005D7229" w:rsidRPr="00092FC6">
        <w:rPr>
          <w:lang w:val="en-US"/>
        </w:rPr>
        <w:t>ute</w:t>
      </w:r>
      <w:r w:rsidR="006A4308" w:rsidRPr="00092FC6">
        <w:rPr>
          <w:lang w:val="en-US"/>
        </w:rPr>
        <w:t xml:space="preserve"> are performed. An additional elongation step at 72</w:t>
      </w:r>
      <w:r w:rsidR="005D7229" w:rsidRPr="00092FC6">
        <w:rPr>
          <w:lang w:val="en-US"/>
        </w:rPr>
        <w:t xml:space="preserve">°C </w:t>
      </w:r>
      <w:r w:rsidR="00C32822" w:rsidRPr="00092FC6">
        <w:rPr>
          <w:lang w:val="en-US"/>
        </w:rPr>
        <w:t>for</w:t>
      </w:r>
      <w:r w:rsidR="006A4308" w:rsidRPr="00092FC6">
        <w:rPr>
          <w:lang w:val="en-US"/>
        </w:rPr>
        <w:t xml:space="preserve"> 9</w:t>
      </w:r>
      <w:r w:rsidR="00C32822" w:rsidRPr="00092FC6">
        <w:rPr>
          <w:lang w:val="en-US"/>
        </w:rPr>
        <w:t> </w:t>
      </w:r>
      <w:r w:rsidR="005D7229" w:rsidRPr="00092FC6">
        <w:t xml:space="preserve">minutes </w:t>
      </w:r>
      <w:r w:rsidR="006A4308" w:rsidRPr="00092FC6">
        <w:rPr>
          <w:lang w:val="en-US"/>
        </w:rPr>
        <w:t>is applied at the end of the reaction. The nested PCR uses 1 µl of the first PCR product in 50 µl of reaction mix, and is performed under the following cycling conditions: pol</w:t>
      </w:r>
      <w:r w:rsidR="00720D6F" w:rsidRPr="00092FC6">
        <w:rPr>
          <w:lang w:val="en-US"/>
        </w:rPr>
        <w:t>y</w:t>
      </w:r>
      <w:r w:rsidR="006A4308" w:rsidRPr="00092FC6">
        <w:rPr>
          <w:lang w:val="en-US"/>
        </w:rPr>
        <w:t>merase activation at 95</w:t>
      </w:r>
      <w:r w:rsidR="005D7229" w:rsidRPr="00092FC6">
        <w:rPr>
          <w:lang w:val="en-US"/>
        </w:rPr>
        <w:t xml:space="preserve">°C </w:t>
      </w:r>
      <w:r w:rsidR="00C32822" w:rsidRPr="00092FC6">
        <w:rPr>
          <w:lang w:val="en-US"/>
        </w:rPr>
        <w:t>for</w:t>
      </w:r>
      <w:r w:rsidR="006A4308" w:rsidRPr="00092FC6">
        <w:rPr>
          <w:lang w:val="en-US"/>
        </w:rPr>
        <w:t xml:space="preserve"> 15</w:t>
      </w:r>
      <w:r w:rsidR="00157D7C">
        <w:rPr>
          <w:lang w:val="en-US"/>
        </w:rPr>
        <w:t> </w:t>
      </w:r>
      <w:r w:rsidR="005D7229" w:rsidRPr="00092FC6">
        <w:t>minutes</w:t>
      </w:r>
      <w:r w:rsidR="006A4308" w:rsidRPr="00092FC6">
        <w:rPr>
          <w:lang w:val="en-US"/>
        </w:rPr>
        <w:t>, 35 cycles consisting of the steps described above with annealing temperature 46</w:t>
      </w:r>
      <w:r w:rsidR="00E26D71" w:rsidRPr="00092FC6">
        <w:rPr>
          <w:lang w:val="en-US"/>
        </w:rPr>
        <w:t>°</w:t>
      </w:r>
      <w:r w:rsidR="006A4308" w:rsidRPr="00092FC6">
        <w:rPr>
          <w:lang w:val="en-US"/>
        </w:rPr>
        <w:t xml:space="preserve">C, followed </w:t>
      </w:r>
      <w:r w:rsidR="005976A1" w:rsidRPr="00092FC6">
        <w:rPr>
          <w:lang w:val="en-US"/>
        </w:rPr>
        <w:t>by</w:t>
      </w:r>
      <w:r w:rsidR="006A4308" w:rsidRPr="00092FC6">
        <w:rPr>
          <w:lang w:val="en-US"/>
        </w:rPr>
        <w:t xml:space="preserve"> the final elongation at 72</w:t>
      </w:r>
      <w:r w:rsidR="005D7229" w:rsidRPr="00092FC6">
        <w:rPr>
          <w:lang w:val="en-US"/>
        </w:rPr>
        <w:t>°C</w:t>
      </w:r>
      <w:r w:rsidR="005D7229" w:rsidRPr="00092FC6">
        <w:rPr>
          <w:vertAlign w:val="superscript"/>
          <w:lang w:val="en-US"/>
        </w:rPr>
        <w:t xml:space="preserve"> </w:t>
      </w:r>
      <w:r w:rsidR="005976A1" w:rsidRPr="00B04614">
        <w:rPr>
          <w:strike/>
          <w:lang w:val="en-US"/>
        </w:rPr>
        <w:t>during</w:t>
      </w:r>
      <w:r w:rsidR="007F14E4">
        <w:rPr>
          <w:strike/>
          <w:lang w:val="en-US"/>
        </w:rPr>
        <w:t xml:space="preserve"> </w:t>
      </w:r>
      <w:r w:rsidR="00B04614" w:rsidRPr="00B04614">
        <w:rPr>
          <w:u w:val="double"/>
          <w:lang w:val="en-US"/>
        </w:rPr>
        <w:t>for</w:t>
      </w:r>
      <w:r w:rsidR="00286FF7" w:rsidRPr="00092FC6">
        <w:rPr>
          <w:lang w:val="en-US"/>
        </w:rPr>
        <w:t xml:space="preserve"> </w:t>
      </w:r>
      <w:r w:rsidR="005976A1" w:rsidRPr="00092FC6">
        <w:rPr>
          <w:lang w:val="en-US"/>
        </w:rPr>
        <w:t>9 </w:t>
      </w:r>
      <w:r w:rsidR="005D7229" w:rsidRPr="00092FC6">
        <w:t>minutes</w:t>
      </w:r>
      <w:r w:rsidR="006A4308" w:rsidRPr="00092FC6">
        <w:rPr>
          <w:lang w:val="en-US"/>
        </w:rPr>
        <w:t>.</w:t>
      </w:r>
    </w:p>
    <w:p w14:paraId="31A59E6C" w14:textId="1C46B6FE" w:rsidR="002D5A69" w:rsidRPr="00092FC6" w:rsidRDefault="002D5A69" w:rsidP="00BE0F1D">
      <w:pPr>
        <w:pStyle w:val="111Para"/>
      </w:pPr>
      <w:r w:rsidRPr="00092FC6">
        <w:rPr>
          <w:lang w:val="en-US"/>
        </w:rPr>
        <w:t xml:space="preserve">An approach aimed </w:t>
      </w:r>
      <w:r w:rsidR="005976A1" w:rsidRPr="00092FC6">
        <w:rPr>
          <w:lang w:val="en-US"/>
        </w:rPr>
        <w:t>at</w:t>
      </w:r>
      <w:r w:rsidRPr="00092FC6">
        <w:rPr>
          <w:lang w:val="en-US"/>
        </w:rPr>
        <w:t xml:space="preserve"> detect</w:t>
      </w:r>
      <w:r w:rsidR="005976A1" w:rsidRPr="00092FC6">
        <w:rPr>
          <w:lang w:val="en-US"/>
        </w:rPr>
        <w:t>ing</w:t>
      </w:r>
      <w:r w:rsidRPr="00092FC6">
        <w:rPr>
          <w:lang w:val="en-US"/>
        </w:rPr>
        <w:t xml:space="preserve"> </w:t>
      </w:r>
      <w:r w:rsidRPr="00B04614">
        <w:rPr>
          <w:strike/>
          <w:lang w:val="en-US"/>
        </w:rPr>
        <w:t>various</w:t>
      </w:r>
      <w:r w:rsidRPr="00092FC6">
        <w:rPr>
          <w:lang w:val="en-US"/>
        </w:rPr>
        <w:t xml:space="preserve"> variants of VEE virus using one pair of degenerated primers (Table 2) was also developed (Pisano </w:t>
      </w:r>
      <w:r w:rsidRPr="00092FC6">
        <w:rPr>
          <w:i/>
          <w:lang w:val="en-US"/>
        </w:rPr>
        <w:t>et al.,</w:t>
      </w:r>
      <w:r w:rsidRPr="00092FC6">
        <w:rPr>
          <w:lang w:val="en-US"/>
        </w:rPr>
        <w:t xml:space="preserve"> 2012). Following reverse transcription </w:t>
      </w:r>
      <w:r w:rsidRPr="00092FC6">
        <w:t>at 46</w:t>
      </w:r>
      <w:r w:rsidR="005D7229" w:rsidRPr="00092FC6">
        <w:t>–</w:t>
      </w:r>
      <w:r w:rsidRPr="00092FC6">
        <w:t>50</w:t>
      </w:r>
      <w:r w:rsidR="005D7229" w:rsidRPr="00092FC6">
        <w:t xml:space="preserve">°C </w:t>
      </w:r>
      <w:r w:rsidRPr="00092FC6">
        <w:t xml:space="preserve">(depending on the enzyme used) </w:t>
      </w:r>
      <w:r w:rsidR="005976A1" w:rsidRPr="00092FC6">
        <w:t>for</w:t>
      </w:r>
      <w:r w:rsidRPr="00092FC6">
        <w:t xml:space="preserve"> 30 </w:t>
      </w:r>
      <w:r w:rsidR="005D7229" w:rsidRPr="00092FC6">
        <w:t xml:space="preserve">minutes </w:t>
      </w:r>
      <w:r w:rsidRPr="00092FC6">
        <w:rPr>
          <w:lang w:val="en-US"/>
        </w:rPr>
        <w:t>and denaturation at 94</w:t>
      </w:r>
      <w:r w:rsidR="005D7229" w:rsidRPr="00092FC6">
        <w:rPr>
          <w:lang w:val="en-US"/>
        </w:rPr>
        <w:t xml:space="preserve">°C </w:t>
      </w:r>
      <w:r w:rsidR="005976A1" w:rsidRPr="00092FC6">
        <w:rPr>
          <w:lang w:val="en-US"/>
        </w:rPr>
        <w:t>for</w:t>
      </w:r>
      <w:r w:rsidRPr="00092FC6">
        <w:rPr>
          <w:lang w:val="en-US"/>
        </w:rPr>
        <w:t xml:space="preserve"> 2</w:t>
      </w:r>
      <w:r w:rsidR="005D7229" w:rsidRPr="00092FC6">
        <w:rPr>
          <w:lang w:val="en-US"/>
        </w:rPr>
        <w:t> </w:t>
      </w:r>
      <w:r w:rsidR="005D7229" w:rsidRPr="00092FC6">
        <w:t>minutes</w:t>
      </w:r>
      <w:r w:rsidRPr="00092FC6">
        <w:rPr>
          <w:lang w:val="en-US"/>
        </w:rPr>
        <w:t xml:space="preserve">, </w:t>
      </w:r>
      <w:r w:rsidR="005976A1" w:rsidRPr="00092FC6">
        <w:rPr>
          <w:lang w:val="en-US"/>
        </w:rPr>
        <w:t xml:space="preserve">the </w:t>
      </w:r>
      <w:r w:rsidRPr="00092FC6">
        <w:rPr>
          <w:lang w:val="en-US"/>
        </w:rPr>
        <w:t>authors recommend first PCR (40 cycles) consisting of denaturation at 94</w:t>
      </w:r>
      <w:r w:rsidR="005D7229" w:rsidRPr="00092FC6">
        <w:rPr>
          <w:lang w:val="en-US"/>
        </w:rPr>
        <w:t xml:space="preserve">°C </w:t>
      </w:r>
      <w:r w:rsidRPr="00092FC6">
        <w:rPr>
          <w:lang w:val="en-US"/>
        </w:rPr>
        <w:t>for 30</w:t>
      </w:r>
      <w:r w:rsidR="005D7229" w:rsidRPr="00092FC6">
        <w:rPr>
          <w:lang w:val="en-US"/>
        </w:rPr>
        <w:t> </w:t>
      </w:r>
      <w:r w:rsidRPr="00092FC6">
        <w:rPr>
          <w:lang w:val="en-US"/>
        </w:rPr>
        <w:t>sec</w:t>
      </w:r>
      <w:r w:rsidR="005D7229" w:rsidRPr="00092FC6">
        <w:rPr>
          <w:lang w:val="en-US"/>
        </w:rPr>
        <w:t>onds</w:t>
      </w:r>
      <w:r w:rsidRPr="00092FC6">
        <w:rPr>
          <w:lang w:val="en-US"/>
        </w:rPr>
        <w:t>; annealing at 64</w:t>
      </w:r>
      <w:r w:rsidR="005D7229" w:rsidRPr="00092FC6">
        <w:rPr>
          <w:lang w:val="en-US"/>
        </w:rPr>
        <w:t xml:space="preserve">°C </w:t>
      </w:r>
      <w:r w:rsidRPr="00092FC6">
        <w:rPr>
          <w:lang w:val="en-US"/>
        </w:rPr>
        <w:t>for 60 sec</w:t>
      </w:r>
      <w:r w:rsidR="005D7229" w:rsidRPr="00092FC6">
        <w:rPr>
          <w:lang w:val="en-US"/>
        </w:rPr>
        <w:t>onds</w:t>
      </w:r>
      <w:r w:rsidRPr="00092FC6">
        <w:rPr>
          <w:lang w:val="en-US"/>
        </w:rPr>
        <w:t>; and elongation at 72</w:t>
      </w:r>
      <w:r w:rsidR="005D7229" w:rsidRPr="00092FC6">
        <w:rPr>
          <w:lang w:val="en-US"/>
        </w:rPr>
        <w:t xml:space="preserve">°C </w:t>
      </w:r>
      <w:r w:rsidRPr="00092FC6">
        <w:rPr>
          <w:lang w:val="en-US"/>
        </w:rPr>
        <w:t>for 30 sec</w:t>
      </w:r>
      <w:r w:rsidR="005D7229" w:rsidRPr="00092FC6">
        <w:rPr>
          <w:lang w:val="en-US"/>
        </w:rPr>
        <w:t>onds</w:t>
      </w:r>
      <w:r w:rsidRPr="00092FC6">
        <w:rPr>
          <w:lang w:val="en-US"/>
        </w:rPr>
        <w:t>, supplemented with</w:t>
      </w:r>
      <w:r w:rsidR="005976A1" w:rsidRPr="00092FC6">
        <w:rPr>
          <w:lang w:val="en-US"/>
        </w:rPr>
        <w:t xml:space="preserve"> a</w:t>
      </w:r>
      <w:r w:rsidRPr="00092FC6">
        <w:rPr>
          <w:lang w:val="en-US"/>
        </w:rPr>
        <w:t xml:space="preserve"> final extension at 72</w:t>
      </w:r>
      <w:r w:rsidR="005D7229" w:rsidRPr="00092FC6">
        <w:rPr>
          <w:lang w:val="en-US"/>
        </w:rPr>
        <w:t xml:space="preserve">°C </w:t>
      </w:r>
      <w:r w:rsidR="005976A1" w:rsidRPr="00092FC6">
        <w:rPr>
          <w:lang w:val="en-US"/>
        </w:rPr>
        <w:t>for</w:t>
      </w:r>
      <w:r w:rsidRPr="00092FC6">
        <w:rPr>
          <w:lang w:val="en-US"/>
        </w:rPr>
        <w:t xml:space="preserve"> 5 </w:t>
      </w:r>
      <w:r w:rsidR="005D7229" w:rsidRPr="00092FC6">
        <w:t>minutes</w:t>
      </w:r>
      <w:r w:rsidRPr="00092FC6">
        <w:rPr>
          <w:lang w:val="en-US"/>
        </w:rPr>
        <w:t xml:space="preserve">. For the nested reaction, 2 µl of the first PCR product </w:t>
      </w:r>
      <w:r w:rsidR="005976A1" w:rsidRPr="00092FC6">
        <w:rPr>
          <w:lang w:val="en-US"/>
        </w:rPr>
        <w:t>is</w:t>
      </w:r>
      <w:r w:rsidRPr="00092FC6">
        <w:rPr>
          <w:lang w:val="en-US"/>
        </w:rPr>
        <w:t xml:space="preserve"> mixed in 50 µl of reaction mix and subjected to initial denaturation at 94</w:t>
      </w:r>
      <w:r w:rsidR="005D7229" w:rsidRPr="00092FC6">
        <w:rPr>
          <w:lang w:val="en-US"/>
        </w:rPr>
        <w:t xml:space="preserve">°C </w:t>
      </w:r>
      <w:r w:rsidR="005976A1" w:rsidRPr="00092FC6">
        <w:rPr>
          <w:lang w:val="en-US"/>
        </w:rPr>
        <w:t>for</w:t>
      </w:r>
      <w:r w:rsidRPr="00092FC6">
        <w:rPr>
          <w:lang w:val="en-US"/>
        </w:rPr>
        <w:t xml:space="preserve"> 2 </w:t>
      </w:r>
      <w:r w:rsidR="005D7229" w:rsidRPr="00092FC6">
        <w:t>minutes</w:t>
      </w:r>
      <w:r w:rsidRPr="00092FC6">
        <w:rPr>
          <w:lang w:val="en-US"/>
        </w:rPr>
        <w:t xml:space="preserve">, </w:t>
      </w:r>
      <w:r w:rsidR="00785FD6" w:rsidRPr="00092FC6">
        <w:rPr>
          <w:lang w:val="en-US"/>
        </w:rPr>
        <w:t>followed by</w:t>
      </w:r>
      <w:r w:rsidRPr="00092FC6">
        <w:rPr>
          <w:lang w:val="en-US"/>
        </w:rPr>
        <w:t xml:space="preserve"> 40 cycles of amplification consisting of denaturation at 94</w:t>
      </w:r>
      <w:r w:rsidR="005D7229" w:rsidRPr="00092FC6">
        <w:rPr>
          <w:lang w:val="en-US"/>
        </w:rPr>
        <w:t xml:space="preserve">°C </w:t>
      </w:r>
      <w:r w:rsidR="00785FD6" w:rsidRPr="00092FC6">
        <w:rPr>
          <w:lang w:val="en-US"/>
        </w:rPr>
        <w:t>for 30 </w:t>
      </w:r>
      <w:r w:rsidRPr="00092FC6">
        <w:rPr>
          <w:lang w:val="en-US"/>
        </w:rPr>
        <w:t>sec</w:t>
      </w:r>
      <w:r w:rsidR="005D7229" w:rsidRPr="00092FC6">
        <w:rPr>
          <w:lang w:val="en-US"/>
        </w:rPr>
        <w:t>onds</w:t>
      </w:r>
      <w:r w:rsidRPr="00092FC6">
        <w:rPr>
          <w:lang w:val="en-US"/>
        </w:rPr>
        <w:t>; annealing at 61</w:t>
      </w:r>
      <w:r w:rsidR="005D7229" w:rsidRPr="00092FC6">
        <w:rPr>
          <w:lang w:val="en-US"/>
        </w:rPr>
        <w:t xml:space="preserve">°C </w:t>
      </w:r>
      <w:r w:rsidRPr="00092FC6">
        <w:rPr>
          <w:lang w:val="en-US"/>
        </w:rPr>
        <w:t>for 40 sec</w:t>
      </w:r>
      <w:r w:rsidR="005D7229" w:rsidRPr="00092FC6">
        <w:rPr>
          <w:lang w:val="en-US"/>
        </w:rPr>
        <w:t>onds</w:t>
      </w:r>
      <w:r w:rsidRPr="00092FC6">
        <w:rPr>
          <w:lang w:val="en-US"/>
        </w:rPr>
        <w:t>; and elongation at 72</w:t>
      </w:r>
      <w:r w:rsidR="005D7229" w:rsidRPr="00092FC6">
        <w:rPr>
          <w:lang w:val="en-US"/>
        </w:rPr>
        <w:t xml:space="preserve">°C </w:t>
      </w:r>
      <w:r w:rsidRPr="00092FC6">
        <w:rPr>
          <w:lang w:val="en-US"/>
        </w:rPr>
        <w:t>for 30 sec</w:t>
      </w:r>
      <w:r w:rsidR="005D7229" w:rsidRPr="00092FC6">
        <w:rPr>
          <w:lang w:val="en-US"/>
        </w:rPr>
        <w:t>onds</w:t>
      </w:r>
      <w:r w:rsidRPr="00092FC6">
        <w:rPr>
          <w:lang w:val="en-US"/>
        </w:rPr>
        <w:t>. A final extension at 72</w:t>
      </w:r>
      <w:r w:rsidR="005D7229" w:rsidRPr="00092FC6">
        <w:rPr>
          <w:lang w:val="en-US"/>
        </w:rPr>
        <w:t xml:space="preserve">°C </w:t>
      </w:r>
      <w:r w:rsidR="005976A1" w:rsidRPr="00092FC6">
        <w:rPr>
          <w:lang w:val="en-US"/>
        </w:rPr>
        <w:t>for</w:t>
      </w:r>
      <w:r w:rsidRPr="00092FC6">
        <w:rPr>
          <w:lang w:val="en-US"/>
        </w:rPr>
        <w:t xml:space="preserve"> 5 min</w:t>
      </w:r>
      <w:r w:rsidR="005976A1" w:rsidRPr="00092FC6">
        <w:rPr>
          <w:lang w:val="en-US"/>
        </w:rPr>
        <w:t>utes</w:t>
      </w:r>
      <w:r w:rsidRPr="00092FC6">
        <w:rPr>
          <w:lang w:val="en-US"/>
        </w:rPr>
        <w:t xml:space="preserve"> is </w:t>
      </w:r>
      <w:r w:rsidR="00785FD6" w:rsidRPr="00092FC6">
        <w:rPr>
          <w:lang w:val="en-US"/>
        </w:rPr>
        <w:t xml:space="preserve">then </w:t>
      </w:r>
      <w:r w:rsidRPr="00092FC6">
        <w:rPr>
          <w:lang w:val="en-US"/>
        </w:rPr>
        <w:t>applied.</w:t>
      </w:r>
    </w:p>
    <w:p w14:paraId="7E33221A" w14:textId="3B19C5DE" w:rsidR="003F170C" w:rsidRPr="00092FC6" w:rsidRDefault="003F170C" w:rsidP="00F122E3">
      <w:pPr>
        <w:pStyle w:val="para1"/>
        <w:spacing w:after="120"/>
        <w:jc w:val="center"/>
        <w:rPr>
          <w:rFonts w:ascii="Ottawa" w:hAnsi="Ottawa" w:cs="Courier New"/>
          <w:i/>
          <w:spacing w:val="-2"/>
        </w:rPr>
      </w:pPr>
      <w:r w:rsidRPr="00092FC6">
        <w:rPr>
          <w:rFonts w:ascii="Ottawa" w:hAnsi="Ottawa" w:cs="Courier New"/>
          <w:b/>
          <w:i/>
          <w:spacing w:val="-2"/>
        </w:rPr>
        <w:t>Table 2.</w:t>
      </w:r>
      <w:r w:rsidRPr="00092FC6">
        <w:rPr>
          <w:rFonts w:ascii="Ottawa" w:hAnsi="Ottawa" w:cs="Courier New"/>
          <w:i/>
          <w:spacing w:val="-2"/>
        </w:rPr>
        <w:t xml:space="preserve"> Primers used for detection of EEE</w:t>
      </w:r>
      <w:r w:rsidR="00306987" w:rsidRPr="00092FC6">
        <w:rPr>
          <w:rFonts w:ascii="Ottawa" w:hAnsi="Ottawa" w:cs="Courier New"/>
          <w:i/>
          <w:spacing w:val="-2"/>
        </w:rPr>
        <w:t>,</w:t>
      </w:r>
      <w:r w:rsidRPr="00092FC6">
        <w:rPr>
          <w:rFonts w:ascii="Ottawa" w:hAnsi="Ottawa" w:cs="Courier New"/>
          <w:i/>
          <w:spacing w:val="-2"/>
        </w:rPr>
        <w:t xml:space="preserve"> WEE</w:t>
      </w:r>
      <w:r w:rsidR="00306987" w:rsidRPr="00092FC6">
        <w:rPr>
          <w:rFonts w:ascii="Ottawa" w:hAnsi="Ottawa" w:cs="Courier New"/>
          <w:i/>
          <w:spacing w:val="-2"/>
        </w:rPr>
        <w:t xml:space="preserve"> and VEE viral RNA</w:t>
      </w:r>
      <w:r w:rsidRPr="00092FC6">
        <w:rPr>
          <w:rFonts w:ascii="Ottawa" w:hAnsi="Ottawa" w:cs="Courier New"/>
          <w:i/>
          <w:spacing w:val="-2"/>
        </w:rPr>
        <w:t xml:space="preserve"> via nested RT-PCR</w:t>
      </w:r>
    </w:p>
    <w:tbl>
      <w:tblPr>
        <w:tblW w:w="870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1300"/>
        <w:gridCol w:w="1037"/>
        <w:gridCol w:w="4066"/>
        <w:gridCol w:w="1156"/>
      </w:tblGrid>
      <w:tr w:rsidR="00470354" w:rsidRPr="00092FC6" w14:paraId="2AA8A60D" w14:textId="715EC643" w:rsidTr="00AE651F">
        <w:trPr>
          <w:tblHeader/>
        </w:trPr>
        <w:tc>
          <w:tcPr>
            <w:tcW w:w="1142" w:type="dxa"/>
            <w:vAlign w:val="center"/>
          </w:tcPr>
          <w:p w14:paraId="630ABB19" w14:textId="77777777" w:rsidR="00306987" w:rsidRPr="00092FC6" w:rsidRDefault="00306987" w:rsidP="005D7229">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b/>
                <w:sz w:val="18"/>
                <w:szCs w:val="18"/>
              </w:rPr>
            </w:pPr>
            <w:r w:rsidRPr="00092FC6">
              <w:rPr>
                <w:rFonts w:ascii="Arial" w:hAnsi="Arial" w:cs="Arial"/>
                <w:b/>
                <w:sz w:val="18"/>
                <w:szCs w:val="18"/>
              </w:rPr>
              <w:t>Virus</w:t>
            </w:r>
          </w:p>
        </w:tc>
        <w:tc>
          <w:tcPr>
            <w:tcW w:w="1300" w:type="dxa"/>
            <w:vAlign w:val="center"/>
          </w:tcPr>
          <w:p w14:paraId="2DB888F9" w14:textId="77777777" w:rsidR="00306987" w:rsidRPr="00092FC6" w:rsidRDefault="00306987" w:rsidP="005D7229">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b/>
                <w:sz w:val="18"/>
                <w:szCs w:val="18"/>
              </w:rPr>
            </w:pPr>
            <w:r w:rsidRPr="00092FC6">
              <w:rPr>
                <w:rFonts w:ascii="Arial" w:hAnsi="Arial" w:cs="Arial"/>
                <w:b/>
                <w:sz w:val="18"/>
                <w:szCs w:val="18"/>
              </w:rPr>
              <w:t>Genome position</w:t>
            </w:r>
          </w:p>
        </w:tc>
        <w:tc>
          <w:tcPr>
            <w:tcW w:w="1037" w:type="dxa"/>
            <w:vAlign w:val="center"/>
          </w:tcPr>
          <w:p w14:paraId="1B6B7899" w14:textId="77777777" w:rsidR="00306987" w:rsidRPr="00092FC6" w:rsidRDefault="00306987" w:rsidP="005D7229">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b/>
                <w:sz w:val="18"/>
                <w:szCs w:val="18"/>
              </w:rPr>
            </w:pPr>
            <w:r w:rsidRPr="00092FC6">
              <w:rPr>
                <w:rFonts w:ascii="Arial" w:hAnsi="Arial" w:cs="Arial"/>
                <w:b/>
                <w:sz w:val="18"/>
                <w:szCs w:val="18"/>
              </w:rPr>
              <w:t>Amplicon length</w:t>
            </w:r>
          </w:p>
        </w:tc>
        <w:tc>
          <w:tcPr>
            <w:tcW w:w="4066" w:type="dxa"/>
            <w:vAlign w:val="center"/>
          </w:tcPr>
          <w:p w14:paraId="04FE4BA5" w14:textId="5222D789" w:rsidR="00306987" w:rsidRPr="00092FC6" w:rsidRDefault="00306987" w:rsidP="005D7229">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b/>
                <w:sz w:val="18"/>
                <w:szCs w:val="18"/>
              </w:rPr>
            </w:pPr>
            <w:r w:rsidRPr="00092FC6">
              <w:rPr>
                <w:rFonts w:ascii="Arial" w:hAnsi="Arial" w:cs="Arial"/>
                <w:b/>
                <w:sz w:val="18"/>
                <w:szCs w:val="18"/>
              </w:rPr>
              <w:t>Primer sequence (5’–3’)</w:t>
            </w:r>
          </w:p>
        </w:tc>
        <w:tc>
          <w:tcPr>
            <w:tcW w:w="1156" w:type="dxa"/>
            <w:vAlign w:val="center"/>
          </w:tcPr>
          <w:p w14:paraId="5BE8F252" w14:textId="48EA0197" w:rsidR="00306987" w:rsidRPr="00092FC6" w:rsidRDefault="00306987" w:rsidP="005D7229">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b/>
                <w:sz w:val="18"/>
                <w:szCs w:val="18"/>
              </w:rPr>
            </w:pPr>
            <w:r w:rsidRPr="00092FC6">
              <w:rPr>
                <w:rFonts w:ascii="Arial" w:hAnsi="Arial" w:cs="Arial"/>
                <w:b/>
                <w:sz w:val="18"/>
                <w:szCs w:val="18"/>
              </w:rPr>
              <w:t>Source</w:t>
            </w:r>
          </w:p>
        </w:tc>
      </w:tr>
      <w:tr w:rsidR="00470354" w:rsidRPr="00092FC6" w14:paraId="44D9A6D0" w14:textId="12A528E8" w:rsidTr="00AE651F">
        <w:trPr>
          <w:trHeight w:val="402"/>
        </w:trPr>
        <w:tc>
          <w:tcPr>
            <w:tcW w:w="1142" w:type="dxa"/>
            <w:vAlign w:val="center"/>
          </w:tcPr>
          <w:p w14:paraId="7902C32D" w14:textId="5C4FE549" w:rsidR="00306987" w:rsidRPr="00092FC6" w:rsidRDefault="00306987" w:rsidP="005D7229">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EEE</w:t>
            </w:r>
            <w:r w:rsidR="005D7229" w:rsidRPr="00092FC6">
              <w:rPr>
                <w:rFonts w:ascii="Arial" w:hAnsi="Arial" w:cs="Arial"/>
                <w:sz w:val="18"/>
                <w:szCs w:val="18"/>
              </w:rPr>
              <w:br/>
            </w:r>
            <w:r w:rsidRPr="00092FC6">
              <w:rPr>
                <w:rFonts w:ascii="Arial" w:hAnsi="Arial" w:cs="Arial"/>
                <w:sz w:val="18"/>
                <w:szCs w:val="18"/>
              </w:rPr>
              <w:t>(1</w:t>
            </w:r>
            <w:r w:rsidRPr="00092FC6">
              <w:rPr>
                <w:rFonts w:ascii="Arial" w:hAnsi="Arial" w:cs="Arial"/>
                <w:sz w:val="18"/>
                <w:szCs w:val="18"/>
                <w:vertAlign w:val="superscript"/>
              </w:rPr>
              <w:t>st</w:t>
            </w:r>
            <w:r w:rsidRPr="00092FC6">
              <w:rPr>
                <w:rFonts w:ascii="Arial" w:hAnsi="Arial" w:cs="Arial"/>
                <w:sz w:val="18"/>
                <w:szCs w:val="18"/>
              </w:rPr>
              <w:t xml:space="preserve"> stage)</w:t>
            </w:r>
          </w:p>
        </w:tc>
        <w:tc>
          <w:tcPr>
            <w:tcW w:w="1300" w:type="dxa"/>
            <w:vAlign w:val="center"/>
          </w:tcPr>
          <w:p w14:paraId="7A069074" w14:textId="16F7013C" w:rsidR="00306987" w:rsidRPr="00092FC6" w:rsidRDefault="00306987" w:rsidP="005D7229">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9233</w:t>
            </w:r>
            <w:r w:rsidR="005D7229" w:rsidRPr="00092FC6">
              <w:rPr>
                <w:rFonts w:ascii="Arial" w:hAnsi="Arial" w:cs="Arial"/>
                <w:sz w:val="18"/>
                <w:szCs w:val="18"/>
              </w:rPr>
              <w:t>–</w:t>
            </w:r>
            <w:r w:rsidRPr="00092FC6">
              <w:rPr>
                <w:rFonts w:ascii="Arial" w:hAnsi="Arial" w:cs="Arial"/>
                <w:sz w:val="18"/>
                <w:szCs w:val="18"/>
              </w:rPr>
              <w:t>9797</w:t>
            </w:r>
          </w:p>
        </w:tc>
        <w:tc>
          <w:tcPr>
            <w:tcW w:w="1037" w:type="dxa"/>
            <w:vAlign w:val="center"/>
          </w:tcPr>
          <w:p w14:paraId="68E09CC3" w14:textId="77777777"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565</w:t>
            </w:r>
          </w:p>
        </w:tc>
        <w:tc>
          <w:tcPr>
            <w:tcW w:w="4066" w:type="dxa"/>
            <w:vAlign w:val="center"/>
          </w:tcPr>
          <w:p w14:paraId="4A5F4B54" w14:textId="7D501A77"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F: AGG</w:t>
            </w:r>
            <w:r w:rsidR="005D7229" w:rsidRPr="00092FC6">
              <w:rPr>
                <w:rFonts w:ascii="Arial" w:hAnsi="Arial" w:cs="Arial"/>
                <w:sz w:val="18"/>
                <w:szCs w:val="18"/>
              </w:rPr>
              <w:t>-</w:t>
            </w:r>
            <w:r w:rsidRPr="00092FC6">
              <w:rPr>
                <w:rFonts w:ascii="Arial" w:hAnsi="Arial" w:cs="Arial"/>
                <w:sz w:val="18"/>
                <w:szCs w:val="18"/>
              </w:rPr>
              <w:t>GCT</w:t>
            </w:r>
            <w:r w:rsidR="005D7229" w:rsidRPr="00092FC6">
              <w:rPr>
                <w:rFonts w:ascii="Arial" w:hAnsi="Arial" w:cs="Arial"/>
                <w:sz w:val="18"/>
                <w:szCs w:val="18"/>
              </w:rPr>
              <w:t>-</w:t>
            </w:r>
            <w:r w:rsidRPr="00092FC6">
              <w:rPr>
                <w:rFonts w:ascii="Arial" w:hAnsi="Arial" w:cs="Arial"/>
                <w:sz w:val="18"/>
                <w:szCs w:val="18"/>
              </w:rPr>
              <w:t>TAC</w:t>
            </w:r>
            <w:r w:rsidR="005D7229" w:rsidRPr="00092FC6">
              <w:rPr>
                <w:rFonts w:ascii="Arial" w:hAnsi="Arial" w:cs="Arial"/>
                <w:sz w:val="18"/>
                <w:szCs w:val="18"/>
              </w:rPr>
              <w:t>-</w:t>
            </w:r>
            <w:r w:rsidRPr="00092FC6">
              <w:rPr>
                <w:rFonts w:ascii="Arial" w:hAnsi="Arial" w:cs="Arial"/>
                <w:sz w:val="18"/>
                <w:szCs w:val="18"/>
              </w:rPr>
              <w:t>CTG</w:t>
            </w:r>
            <w:r w:rsidR="005D7229" w:rsidRPr="00092FC6">
              <w:rPr>
                <w:rFonts w:ascii="Arial" w:hAnsi="Arial" w:cs="Arial"/>
                <w:sz w:val="18"/>
                <w:szCs w:val="18"/>
              </w:rPr>
              <w:t>-</w:t>
            </w:r>
            <w:r w:rsidRPr="00092FC6">
              <w:rPr>
                <w:rFonts w:ascii="Arial" w:hAnsi="Arial" w:cs="Arial"/>
                <w:sz w:val="18"/>
                <w:szCs w:val="18"/>
              </w:rPr>
              <w:t>ATT</w:t>
            </w:r>
            <w:r w:rsidR="005D7229" w:rsidRPr="00092FC6">
              <w:rPr>
                <w:rFonts w:ascii="Arial" w:hAnsi="Arial" w:cs="Arial"/>
                <w:sz w:val="18"/>
                <w:szCs w:val="18"/>
              </w:rPr>
              <w:t>-</w:t>
            </w:r>
            <w:r w:rsidRPr="00092FC6">
              <w:rPr>
                <w:rFonts w:ascii="Arial" w:hAnsi="Arial" w:cs="Arial"/>
                <w:sz w:val="18"/>
                <w:szCs w:val="18"/>
              </w:rPr>
              <w:t>GAC</w:t>
            </w:r>
            <w:r w:rsidR="005D7229" w:rsidRPr="00092FC6">
              <w:rPr>
                <w:rFonts w:ascii="Arial" w:hAnsi="Arial" w:cs="Arial"/>
                <w:sz w:val="18"/>
                <w:szCs w:val="18"/>
              </w:rPr>
              <w:br/>
            </w:r>
            <w:r w:rsidRPr="00092FC6">
              <w:rPr>
                <w:rFonts w:ascii="Arial" w:hAnsi="Arial" w:cs="Arial"/>
                <w:sz w:val="18"/>
                <w:szCs w:val="18"/>
              </w:rPr>
              <w:t>R: GTA</w:t>
            </w:r>
            <w:r w:rsidR="005D7229" w:rsidRPr="00092FC6">
              <w:rPr>
                <w:rFonts w:ascii="Arial" w:hAnsi="Arial" w:cs="Arial"/>
                <w:sz w:val="18"/>
                <w:szCs w:val="18"/>
              </w:rPr>
              <w:t>-</w:t>
            </w:r>
            <w:r w:rsidRPr="00092FC6">
              <w:rPr>
                <w:rFonts w:ascii="Arial" w:hAnsi="Arial" w:cs="Arial"/>
                <w:sz w:val="18"/>
                <w:szCs w:val="18"/>
              </w:rPr>
              <w:t>ACG</w:t>
            </w:r>
            <w:r w:rsidR="005D7229" w:rsidRPr="00092FC6">
              <w:rPr>
                <w:rFonts w:ascii="Arial" w:hAnsi="Arial" w:cs="Arial"/>
                <w:sz w:val="18"/>
                <w:szCs w:val="18"/>
              </w:rPr>
              <w:t>-</w:t>
            </w:r>
            <w:r w:rsidRPr="00092FC6">
              <w:rPr>
                <w:rFonts w:ascii="Arial" w:hAnsi="Arial" w:cs="Arial"/>
                <w:sz w:val="18"/>
                <w:szCs w:val="18"/>
              </w:rPr>
              <w:t>CCA</w:t>
            </w:r>
            <w:r w:rsidR="005D7229" w:rsidRPr="00092FC6">
              <w:rPr>
                <w:rFonts w:ascii="Arial" w:hAnsi="Arial" w:cs="Arial"/>
                <w:sz w:val="18"/>
                <w:szCs w:val="18"/>
              </w:rPr>
              <w:t>-</w:t>
            </w:r>
            <w:r w:rsidRPr="00092FC6">
              <w:rPr>
                <w:rFonts w:ascii="Arial" w:hAnsi="Arial" w:cs="Arial"/>
                <w:sz w:val="18"/>
                <w:szCs w:val="18"/>
              </w:rPr>
              <w:t>GGA</w:t>
            </w:r>
            <w:r w:rsidR="005D7229" w:rsidRPr="00092FC6">
              <w:rPr>
                <w:rFonts w:ascii="Arial" w:hAnsi="Arial" w:cs="Arial"/>
                <w:sz w:val="18"/>
                <w:szCs w:val="18"/>
              </w:rPr>
              <w:t>-</w:t>
            </w:r>
            <w:r w:rsidRPr="00092FC6">
              <w:rPr>
                <w:rFonts w:ascii="Arial" w:hAnsi="Arial" w:cs="Arial"/>
                <w:sz w:val="18"/>
                <w:szCs w:val="18"/>
              </w:rPr>
              <w:t>GTA</w:t>
            </w:r>
            <w:r w:rsidR="005D7229" w:rsidRPr="00092FC6">
              <w:rPr>
                <w:rFonts w:ascii="Arial" w:hAnsi="Arial" w:cs="Arial"/>
                <w:sz w:val="18"/>
                <w:szCs w:val="18"/>
              </w:rPr>
              <w:t>-</w:t>
            </w:r>
            <w:r w:rsidRPr="00092FC6">
              <w:rPr>
                <w:rFonts w:ascii="Arial" w:hAnsi="Arial" w:cs="Arial"/>
                <w:sz w:val="18"/>
                <w:szCs w:val="18"/>
              </w:rPr>
              <w:t>TTG</w:t>
            </w:r>
          </w:p>
        </w:tc>
        <w:tc>
          <w:tcPr>
            <w:tcW w:w="1156" w:type="dxa"/>
          </w:tcPr>
          <w:p w14:paraId="651EFC15" w14:textId="61AE27AC"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NVSL</w:t>
            </w:r>
          </w:p>
        </w:tc>
      </w:tr>
      <w:tr w:rsidR="00470354" w:rsidRPr="00092FC6" w14:paraId="070E7B02" w14:textId="70B9AD7C" w:rsidTr="00AE651F">
        <w:tc>
          <w:tcPr>
            <w:tcW w:w="1142" w:type="dxa"/>
            <w:vAlign w:val="center"/>
          </w:tcPr>
          <w:p w14:paraId="1BBF42CA" w14:textId="63BC466F"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EEE</w:t>
            </w:r>
            <w:r w:rsidR="005D7229" w:rsidRPr="00092FC6">
              <w:rPr>
                <w:rFonts w:ascii="Arial" w:hAnsi="Arial" w:cs="Arial"/>
                <w:sz w:val="18"/>
                <w:szCs w:val="18"/>
              </w:rPr>
              <w:br/>
            </w:r>
            <w:r w:rsidRPr="00092FC6">
              <w:rPr>
                <w:rFonts w:ascii="Arial" w:hAnsi="Arial" w:cs="Arial"/>
                <w:sz w:val="18"/>
                <w:szCs w:val="18"/>
              </w:rPr>
              <w:t>(nested)</w:t>
            </w:r>
          </w:p>
        </w:tc>
        <w:tc>
          <w:tcPr>
            <w:tcW w:w="1300" w:type="dxa"/>
            <w:vAlign w:val="center"/>
          </w:tcPr>
          <w:p w14:paraId="13720957" w14:textId="2DF2B236"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9571</w:t>
            </w:r>
            <w:r w:rsidR="005D7229" w:rsidRPr="00092FC6">
              <w:rPr>
                <w:rFonts w:ascii="Arial" w:hAnsi="Arial" w:cs="Arial"/>
                <w:sz w:val="18"/>
                <w:szCs w:val="18"/>
              </w:rPr>
              <w:t>–</w:t>
            </w:r>
            <w:r w:rsidRPr="00092FC6">
              <w:rPr>
                <w:rFonts w:ascii="Arial" w:hAnsi="Arial" w:cs="Arial"/>
                <w:sz w:val="18"/>
                <w:szCs w:val="18"/>
              </w:rPr>
              <w:t>9710</w:t>
            </w:r>
          </w:p>
        </w:tc>
        <w:tc>
          <w:tcPr>
            <w:tcW w:w="1037" w:type="dxa"/>
            <w:vAlign w:val="center"/>
          </w:tcPr>
          <w:p w14:paraId="18DD0CCC" w14:textId="77777777"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140</w:t>
            </w:r>
          </w:p>
        </w:tc>
        <w:tc>
          <w:tcPr>
            <w:tcW w:w="4066" w:type="dxa"/>
            <w:vAlign w:val="center"/>
          </w:tcPr>
          <w:p w14:paraId="15E4D6BB" w14:textId="4006B53C"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F: GGC</w:t>
            </w:r>
            <w:r w:rsidR="005D7229" w:rsidRPr="00092FC6">
              <w:rPr>
                <w:rFonts w:ascii="Arial" w:hAnsi="Arial" w:cs="Arial"/>
                <w:sz w:val="18"/>
                <w:szCs w:val="18"/>
              </w:rPr>
              <w:t>-</w:t>
            </w:r>
            <w:r w:rsidRPr="00092FC6">
              <w:rPr>
                <w:rFonts w:ascii="Arial" w:hAnsi="Arial" w:cs="Arial"/>
                <w:sz w:val="18"/>
                <w:szCs w:val="18"/>
              </w:rPr>
              <w:t>TCA</w:t>
            </w:r>
            <w:r w:rsidR="005D7229" w:rsidRPr="00092FC6">
              <w:rPr>
                <w:rFonts w:ascii="Arial" w:hAnsi="Arial" w:cs="Arial"/>
                <w:sz w:val="18"/>
                <w:szCs w:val="18"/>
              </w:rPr>
              <w:t>-</w:t>
            </w:r>
            <w:r w:rsidRPr="00092FC6">
              <w:rPr>
                <w:rFonts w:ascii="Arial" w:hAnsi="Arial" w:cs="Arial"/>
                <w:sz w:val="18"/>
                <w:szCs w:val="18"/>
              </w:rPr>
              <w:t>AGA</w:t>
            </w:r>
            <w:r w:rsidR="005D7229" w:rsidRPr="00092FC6">
              <w:rPr>
                <w:rFonts w:ascii="Arial" w:hAnsi="Arial" w:cs="Arial"/>
                <w:sz w:val="18"/>
                <w:szCs w:val="18"/>
              </w:rPr>
              <w:t>-</w:t>
            </w:r>
            <w:r w:rsidRPr="00092FC6">
              <w:rPr>
                <w:rFonts w:ascii="Arial" w:hAnsi="Arial" w:cs="Arial"/>
                <w:sz w:val="18"/>
                <w:szCs w:val="18"/>
              </w:rPr>
              <w:t>GTC</w:t>
            </w:r>
            <w:r w:rsidR="005D7229" w:rsidRPr="00092FC6">
              <w:rPr>
                <w:rFonts w:ascii="Arial" w:hAnsi="Arial" w:cs="Arial"/>
                <w:sz w:val="18"/>
                <w:szCs w:val="18"/>
              </w:rPr>
              <w:t>-</w:t>
            </w:r>
            <w:r w:rsidRPr="00092FC6">
              <w:rPr>
                <w:rFonts w:ascii="Arial" w:hAnsi="Arial" w:cs="Arial"/>
                <w:sz w:val="18"/>
                <w:szCs w:val="18"/>
              </w:rPr>
              <w:t>AGG</w:t>
            </w:r>
            <w:r w:rsidR="005D7229" w:rsidRPr="00092FC6">
              <w:rPr>
                <w:rFonts w:ascii="Arial" w:hAnsi="Arial" w:cs="Arial"/>
                <w:sz w:val="18"/>
                <w:szCs w:val="18"/>
              </w:rPr>
              <w:t>-</w:t>
            </w:r>
            <w:r w:rsidRPr="00092FC6">
              <w:rPr>
                <w:rFonts w:ascii="Arial" w:hAnsi="Arial" w:cs="Arial"/>
                <w:sz w:val="18"/>
                <w:szCs w:val="18"/>
              </w:rPr>
              <w:t>AGA</w:t>
            </w:r>
            <w:r w:rsidR="005D7229" w:rsidRPr="00092FC6">
              <w:rPr>
                <w:rFonts w:ascii="Arial" w:hAnsi="Arial" w:cs="Arial"/>
                <w:sz w:val="18"/>
                <w:szCs w:val="18"/>
              </w:rPr>
              <w:br/>
            </w:r>
            <w:r w:rsidRPr="00092FC6">
              <w:rPr>
                <w:rFonts w:ascii="Arial" w:hAnsi="Arial" w:cs="Arial"/>
                <w:sz w:val="18"/>
                <w:szCs w:val="18"/>
              </w:rPr>
              <w:t>R: CGG</w:t>
            </w:r>
            <w:r w:rsidR="005D7229" w:rsidRPr="00092FC6">
              <w:rPr>
                <w:rFonts w:ascii="Arial" w:hAnsi="Arial" w:cs="Arial"/>
                <w:sz w:val="18"/>
                <w:szCs w:val="18"/>
              </w:rPr>
              <w:t>-</w:t>
            </w:r>
            <w:r w:rsidRPr="00092FC6">
              <w:rPr>
                <w:rFonts w:ascii="Arial" w:hAnsi="Arial" w:cs="Arial"/>
                <w:sz w:val="18"/>
                <w:szCs w:val="18"/>
              </w:rPr>
              <w:t>ATG</w:t>
            </w:r>
            <w:r w:rsidR="005D7229" w:rsidRPr="00092FC6">
              <w:rPr>
                <w:rFonts w:ascii="Arial" w:hAnsi="Arial" w:cs="Arial"/>
                <w:sz w:val="18"/>
                <w:szCs w:val="18"/>
              </w:rPr>
              <w:t>-</w:t>
            </w:r>
            <w:r w:rsidRPr="00092FC6">
              <w:rPr>
                <w:rFonts w:ascii="Arial" w:hAnsi="Arial" w:cs="Arial"/>
                <w:sz w:val="18"/>
                <w:szCs w:val="18"/>
              </w:rPr>
              <w:t>TGA</w:t>
            </w:r>
            <w:r w:rsidR="005D7229" w:rsidRPr="00092FC6">
              <w:rPr>
                <w:rFonts w:ascii="Arial" w:hAnsi="Arial" w:cs="Arial"/>
                <w:sz w:val="18"/>
                <w:szCs w:val="18"/>
              </w:rPr>
              <w:t>-</w:t>
            </w:r>
            <w:r w:rsidRPr="00092FC6">
              <w:rPr>
                <w:rFonts w:ascii="Arial" w:hAnsi="Arial" w:cs="Arial"/>
                <w:sz w:val="18"/>
                <w:szCs w:val="18"/>
              </w:rPr>
              <w:t>CAC</w:t>
            </w:r>
            <w:r w:rsidR="005D7229" w:rsidRPr="00092FC6">
              <w:rPr>
                <w:rFonts w:ascii="Arial" w:hAnsi="Arial" w:cs="Arial"/>
                <w:sz w:val="18"/>
                <w:szCs w:val="18"/>
              </w:rPr>
              <w:t>-</w:t>
            </w:r>
            <w:r w:rsidRPr="00092FC6">
              <w:rPr>
                <w:rFonts w:ascii="Arial" w:hAnsi="Arial" w:cs="Arial"/>
                <w:sz w:val="18"/>
                <w:szCs w:val="18"/>
              </w:rPr>
              <w:t>AAG</w:t>
            </w:r>
            <w:r w:rsidR="005D7229" w:rsidRPr="00092FC6">
              <w:rPr>
                <w:rFonts w:ascii="Arial" w:hAnsi="Arial" w:cs="Arial"/>
                <w:sz w:val="18"/>
                <w:szCs w:val="18"/>
              </w:rPr>
              <w:t>-</w:t>
            </w:r>
            <w:r w:rsidRPr="00092FC6">
              <w:rPr>
                <w:rFonts w:ascii="Arial" w:hAnsi="Arial" w:cs="Arial"/>
                <w:sz w:val="18"/>
                <w:szCs w:val="18"/>
              </w:rPr>
              <w:t>AGA</w:t>
            </w:r>
          </w:p>
        </w:tc>
        <w:tc>
          <w:tcPr>
            <w:tcW w:w="1156" w:type="dxa"/>
          </w:tcPr>
          <w:p w14:paraId="1E41518E" w14:textId="7134E519"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NVSL</w:t>
            </w:r>
          </w:p>
        </w:tc>
      </w:tr>
      <w:tr w:rsidR="00470354" w:rsidRPr="00092FC6" w14:paraId="7D6F8C24" w14:textId="4AE27074" w:rsidTr="00AE651F">
        <w:tc>
          <w:tcPr>
            <w:tcW w:w="1142" w:type="dxa"/>
            <w:vAlign w:val="center"/>
          </w:tcPr>
          <w:p w14:paraId="5FE3AE11" w14:textId="7D5163FB"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WEE</w:t>
            </w:r>
            <w:r w:rsidR="005D7229" w:rsidRPr="00092FC6">
              <w:rPr>
                <w:rFonts w:ascii="Arial" w:hAnsi="Arial" w:cs="Arial"/>
                <w:sz w:val="18"/>
                <w:szCs w:val="18"/>
              </w:rPr>
              <w:br/>
            </w:r>
            <w:r w:rsidRPr="00092FC6">
              <w:rPr>
                <w:rFonts w:ascii="Arial" w:hAnsi="Arial" w:cs="Arial"/>
                <w:sz w:val="18"/>
                <w:szCs w:val="18"/>
              </w:rPr>
              <w:t>(1</w:t>
            </w:r>
            <w:r w:rsidRPr="00092FC6">
              <w:rPr>
                <w:rFonts w:ascii="Arial" w:hAnsi="Arial" w:cs="Arial"/>
                <w:sz w:val="18"/>
                <w:szCs w:val="18"/>
                <w:vertAlign w:val="superscript"/>
              </w:rPr>
              <w:t>st</w:t>
            </w:r>
            <w:r w:rsidRPr="00092FC6">
              <w:rPr>
                <w:rFonts w:ascii="Arial" w:hAnsi="Arial" w:cs="Arial"/>
                <w:sz w:val="18"/>
                <w:szCs w:val="18"/>
              </w:rPr>
              <w:t xml:space="preserve"> stage)</w:t>
            </w:r>
          </w:p>
        </w:tc>
        <w:tc>
          <w:tcPr>
            <w:tcW w:w="1300" w:type="dxa"/>
            <w:vAlign w:val="center"/>
          </w:tcPr>
          <w:p w14:paraId="3C99A262" w14:textId="3D26F356"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9032</w:t>
            </w:r>
            <w:r w:rsidR="005D7229" w:rsidRPr="00092FC6">
              <w:rPr>
                <w:rFonts w:ascii="Arial" w:hAnsi="Arial" w:cs="Arial"/>
                <w:sz w:val="18"/>
                <w:szCs w:val="18"/>
              </w:rPr>
              <w:t>–</w:t>
            </w:r>
            <w:r w:rsidRPr="00092FC6">
              <w:rPr>
                <w:rFonts w:ascii="Arial" w:hAnsi="Arial" w:cs="Arial"/>
                <w:sz w:val="18"/>
                <w:szCs w:val="18"/>
              </w:rPr>
              <w:t>9621</w:t>
            </w:r>
          </w:p>
        </w:tc>
        <w:tc>
          <w:tcPr>
            <w:tcW w:w="1037" w:type="dxa"/>
            <w:vAlign w:val="center"/>
          </w:tcPr>
          <w:p w14:paraId="6CF76C21" w14:textId="77777777"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590</w:t>
            </w:r>
          </w:p>
        </w:tc>
        <w:tc>
          <w:tcPr>
            <w:tcW w:w="4066" w:type="dxa"/>
            <w:vAlign w:val="center"/>
          </w:tcPr>
          <w:p w14:paraId="66B30910" w14:textId="3C9A5CC4"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F: TAA</w:t>
            </w:r>
            <w:r w:rsidR="005D7229" w:rsidRPr="00092FC6">
              <w:rPr>
                <w:rFonts w:ascii="Arial" w:hAnsi="Arial" w:cs="Arial"/>
                <w:sz w:val="18"/>
                <w:szCs w:val="18"/>
              </w:rPr>
              <w:t>-</w:t>
            </w:r>
            <w:r w:rsidRPr="00092FC6">
              <w:rPr>
                <w:rFonts w:ascii="Arial" w:hAnsi="Arial" w:cs="Arial"/>
                <w:sz w:val="18"/>
                <w:szCs w:val="18"/>
              </w:rPr>
              <w:t>GTG</w:t>
            </w:r>
            <w:r w:rsidR="005D7229" w:rsidRPr="00092FC6">
              <w:rPr>
                <w:rFonts w:ascii="Arial" w:hAnsi="Arial" w:cs="Arial"/>
                <w:sz w:val="18"/>
                <w:szCs w:val="18"/>
              </w:rPr>
              <w:t>-</w:t>
            </w:r>
            <w:r w:rsidRPr="00092FC6">
              <w:rPr>
                <w:rFonts w:ascii="Arial" w:hAnsi="Arial" w:cs="Arial"/>
                <w:sz w:val="18"/>
                <w:szCs w:val="18"/>
              </w:rPr>
              <w:t>TGG</w:t>
            </w:r>
            <w:r w:rsidR="005D7229" w:rsidRPr="00092FC6">
              <w:rPr>
                <w:rFonts w:ascii="Arial" w:hAnsi="Arial" w:cs="Arial"/>
                <w:sz w:val="18"/>
                <w:szCs w:val="18"/>
              </w:rPr>
              <w:t>-</w:t>
            </w:r>
            <w:r w:rsidRPr="00092FC6">
              <w:rPr>
                <w:rFonts w:ascii="Arial" w:hAnsi="Arial" w:cs="Arial"/>
                <w:sz w:val="18"/>
                <w:szCs w:val="18"/>
              </w:rPr>
              <w:t>CGA</w:t>
            </w:r>
            <w:r w:rsidR="005D7229" w:rsidRPr="00092FC6">
              <w:rPr>
                <w:rFonts w:ascii="Arial" w:hAnsi="Arial" w:cs="Arial"/>
                <w:sz w:val="18"/>
                <w:szCs w:val="18"/>
              </w:rPr>
              <w:t>-</w:t>
            </w:r>
            <w:r w:rsidRPr="00092FC6">
              <w:rPr>
                <w:rFonts w:ascii="Arial" w:hAnsi="Arial" w:cs="Arial"/>
                <w:sz w:val="18"/>
                <w:szCs w:val="18"/>
              </w:rPr>
              <w:t>CTA</w:t>
            </w:r>
            <w:r w:rsidR="005D7229" w:rsidRPr="00092FC6">
              <w:rPr>
                <w:rFonts w:ascii="Arial" w:hAnsi="Arial" w:cs="Arial"/>
                <w:sz w:val="18"/>
                <w:szCs w:val="18"/>
              </w:rPr>
              <w:t>-</w:t>
            </w:r>
            <w:r w:rsidRPr="00092FC6">
              <w:rPr>
                <w:rFonts w:ascii="Arial" w:hAnsi="Arial" w:cs="Arial"/>
                <w:sz w:val="18"/>
                <w:szCs w:val="18"/>
              </w:rPr>
              <w:t>CAG</w:t>
            </w:r>
            <w:r w:rsidR="005D7229" w:rsidRPr="00092FC6">
              <w:rPr>
                <w:rFonts w:ascii="Arial" w:hAnsi="Arial" w:cs="Arial"/>
                <w:sz w:val="18"/>
                <w:szCs w:val="18"/>
              </w:rPr>
              <w:br/>
            </w:r>
            <w:r w:rsidRPr="00092FC6">
              <w:rPr>
                <w:rFonts w:ascii="Arial" w:hAnsi="Arial" w:cs="Arial"/>
                <w:sz w:val="18"/>
                <w:szCs w:val="18"/>
              </w:rPr>
              <w:t>R: TCA</w:t>
            </w:r>
            <w:r w:rsidR="005D7229" w:rsidRPr="00092FC6">
              <w:rPr>
                <w:rFonts w:ascii="Arial" w:hAnsi="Arial" w:cs="Arial"/>
                <w:sz w:val="18"/>
                <w:szCs w:val="18"/>
              </w:rPr>
              <w:t>-</w:t>
            </w:r>
            <w:r w:rsidRPr="00092FC6">
              <w:rPr>
                <w:rFonts w:ascii="Arial" w:hAnsi="Arial" w:cs="Arial"/>
                <w:sz w:val="18"/>
                <w:szCs w:val="18"/>
              </w:rPr>
              <w:t>GGC</w:t>
            </w:r>
            <w:r w:rsidR="005D7229" w:rsidRPr="00092FC6">
              <w:rPr>
                <w:rFonts w:ascii="Arial" w:hAnsi="Arial" w:cs="Arial"/>
                <w:sz w:val="18"/>
                <w:szCs w:val="18"/>
              </w:rPr>
              <w:t>-</w:t>
            </w:r>
            <w:r w:rsidRPr="00092FC6">
              <w:rPr>
                <w:rFonts w:ascii="Arial" w:hAnsi="Arial" w:cs="Arial"/>
                <w:sz w:val="18"/>
                <w:szCs w:val="18"/>
              </w:rPr>
              <w:t>AGT</w:t>
            </w:r>
            <w:r w:rsidR="005D7229" w:rsidRPr="00092FC6">
              <w:rPr>
                <w:rFonts w:ascii="Arial" w:hAnsi="Arial" w:cs="Arial"/>
                <w:sz w:val="18"/>
                <w:szCs w:val="18"/>
              </w:rPr>
              <w:t>-</w:t>
            </w:r>
            <w:r w:rsidRPr="00092FC6">
              <w:rPr>
                <w:rFonts w:ascii="Arial" w:hAnsi="Arial" w:cs="Arial"/>
                <w:sz w:val="18"/>
                <w:szCs w:val="18"/>
              </w:rPr>
              <w:t>CTC</w:t>
            </w:r>
            <w:r w:rsidR="005D7229" w:rsidRPr="00092FC6">
              <w:rPr>
                <w:rFonts w:ascii="Arial" w:hAnsi="Arial" w:cs="Arial"/>
                <w:sz w:val="18"/>
                <w:szCs w:val="18"/>
              </w:rPr>
              <w:t>-</w:t>
            </w:r>
            <w:r w:rsidRPr="00092FC6">
              <w:rPr>
                <w:rFonts w:ascii="Arial" w:hAnsi="Arial" w:cs="Arial"/>
                <w:sz w:val="18"/>
                <w:szCs w:val="18"/>
              </w:rPr>
              <w:t>TTC</w:t>
            </w:r>
            <w:r w:rsidR="005D7229" w:rsidRPr="00092FC6">
              <w:rPr>
                <w:rFonts w:ascii="Arial" w:hAnsi="Arial" w:cs="Arial"/>
                <w:sz w:val="18"/>
                <w:szCs w:val="18"/>
              </w:rPr>
              <w:t>-</w:t>
            </w:r>
            <w:r w:rsidRPr="00092FC6">
              <w:rPr>
                <w:rFonts w:ascii="Arial" w:hAnsi="Arial" w:cs="Arial"/>
                <w:sz w:val="18"/>
                <w:szCs w:val="18"/>
              </w:rPr>
              <w:t>TTG</w:t>
            </w:r>
          </w:p>
        </w:tc>
        <w:tc>
          <w:tcPr>
            <w:tcW w:w="1156" w:type="dxa"/>
          </w:tcPr>
          <w:p w14:paraId="6C00F0FF" w14:textId="1545D457"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NVSL</w:t>
            </w:r>
          </w:p>
        </w:tc>
      </w:tr>
      <w:tr w:rsidR="00470354" w:rsidRPr="00092FC6" w14:paraId="0A0A4AA3" w14:textId="7B2A6530" w:rsidTr="00AE651F">
        <w:tc>
          <w:tcPr>
            <w:tcW w:w="1142" w:type="dxa"/>
            <w:vAlign w:val="center"/>
          </w:tcPr>
          <w:p w14:paraId="766D5C35" w14:textId="786200FB"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lastRenderedPageBreak/>
              <w:t>WEE</w:t>
            </w:r>
            <w:r w:rsidR="005D7229" w:rsidRPr="00092FC6">
              <w:rPr>
                <w:rFonts w:ascii="Arial" w:hAnsi="Arial" w:cs="Arial"/>
                <w:sz w:val="18"/>
                <w:szCs w:val="18"/>
              </w:rPr>
              <w:br/>
            </w:r>
            <w:r w:rsidRPr="00092FC6">
              <w:rPr>
                <w:rFonts w:ascii="Arial" w:hAnsi="Arial" w:cs="Arial"/>
                <w:sz w:val="18"/>
                <w:szCs w:val="18"/>
              </w:rPr>
              <w:t>(nested)</w:t>
            </w:r>
          </w:p>
        </w:tc>
        <w:tc>
          <w:tcPr>
            <w:tcW w:w="1300" w:type="dxa"/>
            <w:vAlign w:val="center"/>
          </w:tcPr>
          <w:p w14:paraId="5C775EE1" w14:textId="36673595"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9241</w:t>
            </w:r>
            <w:r w:rsidR="005D7229" w:rsidRPr="00092FC6">
              <w:rPr>
                <w:rFonts w:ascii="Arial" w:hAnsi="Arial" w:cs="Arial"/>
                <w:sz w:val="18"/>
                <w:szCs w:val="18"/>
              </w:rPr>
              <w:t>–</w:t>
            </w:r>
            <w:r w:rsidRPr="00092FC6">
              <w:rPr>
                <w:rFonts w:ascii="Arial" w:hAnsi="Arial" w:cs="Arial"/>
                <w:sz w:val="18"/>
                <w:szCs w:val="18"/>
              </w:rPr>
              <w:t>9575</w:t>
            </w:r>
          </w:p>
        </w:tc>
        <w:tc>
          <w:tcPr>
            <w:tcW w:w="1037" w:type="dxa"/>
            <w:vAlign w:val="center"/>
          </w:tcPr>
          <w:p w14:paraId="6A7FC0DE" w14:textId="77777777"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335</w:t>
            </w:r>
          </w:p>
        </w:tc>
        <w:tc>
          <w:tcPr>
            <w:tcW w:w="4066" w:type="dxa"/>
            <w:vAlign w:val="center"/>
          </w:tcPr>
          <w:p w14:paraId="042B3E86" w14:textId="424F4FB3"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F: CTC</w:t>
            </w:r>
            <w:r w:rsidR="005D7229" w:rsidRPr="00092FC6">
              <w:rPr>
                <w:rFonts w:ascii="Arial" w:hAnsi="Arial" w:cs="Arial"/>
                <w:sz w:val="18"/>
                <w:szCs w:val="18"/>
              </w:rPr>
              <w:t>-</w:t>
            </w:r>
            <w:r w:rsidRPr="00092FC6">
              <w:rPr>
                <w:rFonts w:ascii="Arial" w:hAnsi="Arial" w:cs="Arial"/>
                <w:sz w:val="18"/>
                <w:szCs w:val="18"/>
              </w:rPr>
              <w:t>ACA</w:t>
            </w:r>
            <w:r w:rsidR="005D7229" w:rsidRPr="00092FC6">
              <w:rPr>
                <w:rFonts w:ascii="Arial" w:hAnsi="Arial" w:cs="Arial"/>
                <w:sz w:val="18"/>
                <w:szCs w:val="18"/>
              </w:rPr>
              <w:t>-</w:t>
            </w:r>
            <w:r w:rsidRPr="00092FC6">
              <w:rPr>
                <w:rFonts w:ascii="Arial" w:hAnsi="Arial" w:cs="Arial"/>
                <w:sz w:val="18"/>
                <w:szCs w:val="18"/>
              </w:rPr>
              <w:t>CGC</w:t>
            </w:r>
            <w:r w:rsidR="005D7229" w:rsidRPr="00092FC6">
              <w:rPr>
                <w:rFonts w:ascii="Arial" w:hAnsi="Arial" w:cs="Arial"/>
                <w:sz w:val="18"/>
                <w:szCs w:val="18"/>
              </w:rPr>
              <w:t>-</w:t>
            </w:r>
            <w:r w:rsidRPr="00092FC6">
              <w:rPr>
                <w:rFonts w:ascii="Arial" w:hAnsi="Arial" w:cs="Arial"/>
                <w:sz w:val="18"/>
                <w:szCs w:val="18"/>
              </w:rPr>
              <w:t>CTA</w:t>
            </w:r>
            <w:r w:rsidR="005D7229" w:rsidRPr="00092FC6">
              <w:rPr>
                <w:rFonts w:ascii="Arial" w:hAnsi="Arial" w:cs="Arial"/>
                <w:sz w:val="18"/>
                <w:szCs w:val="18"/>
              </w:rPr>
              <w:t>-</w:t>
            </w:r>
            <w:r w:rsidRPr="00092FC6">
              <w:rPr>
                <w:rFonts w:ascii="Arial" w:hAnsi="Arial" w:cs="Arial"/>
                <w:sz w:val="18"/>
                <w:szCs w:val="18"/>
              </w:rPr>
              <w:t>CAG</w:t>
            </w:r>
            <w:r w:rsidR="005D7229" w:rsidRPr="00092FC6">
              <w:rPr>
                <w:rFonts w:ascii="Arial" w:hAnsi="Arial" w:cs="Arial"/>
                <w:sz w:val="18"/>
                <w:szCs w:val="18"/>
              </w:rPr>
              <w:t>-</w:t>
            </w:r>
            <w:r w:rsidRPr="00092FC6">
              <w:rPr>
                <w:rFonts w:ascii="Arial" w:hAnsi="Arial" w:cs="Arial"/>
                <w:sz w:val="18"/>
                <w:szCs w:val="18"/>
              </w:rPr>
              <w:t>TCA</w:t>
            </w:r>
            <w:r w:rsidR="005D7229" w:rsidRPr="00092FC6">
              <w:rPr>
                <w:rFonts w:ascii="Arial" w:hAnsi="Arial" w:cs="Arial"/>
                <w:sz w:val="18"/>
                <w:szCs w:val="18"/>
              </w:rPr>
              <w:br/>
            </w:r>
            <w:r w:rsidRPr="00092FC6">
              <w:rPr>
                <w:rFonts w:ascii="Arial" w:hAnsi="Arial" w:cs="Arial"/>
                <w:sz w:val="18"/>
                <w:szCs w:val="18"/>
              </w:rPr>
              <w:t>R: AGT</w:t>
            </w:r>
            <w:r w:rsidR="005D7229" w:rsidRPr="00092FC6">
              <w:rPr>
                <w:rFonts w:ascii="Arial" w:hAnsi="Arial" w:cs="Arial"/>
                <w:sz w:val="18"/>
                <w:szCs w:val="18"/>
              </w:rPr>
              <w:t>-</w:t>
            </w:r>
            <w:r w:rsidRPr="00092FC6">
              <w:rPr>
                <w:rFonts w:ascii="Arial" w:hAnsi="Arial" w:cs="Arial"/>
                <w:sz w:val="18"/>
                <w:szCs w:val="18"/>
              </w:rPr>
              <w:t>GCC</w:t>
            </w:r>
            <w:r w:rsidR="005D7229" w:rsidRPr="00092FC6">
              <w:rPr>
                <w:rFonts w:ascii="Arial" w:hAnsi="Arial" w:cs="Arial"/>
                <w:sz w:val="18"/>
                <w:szCs w:val="18"/>
              </w:rPr>
              <w:t>-</w:t>
            </w:r>
            <w:r w:rsidRPr="00092FC6">
              <w:rPr>
                <w:rFonts w:ascii="Arial" w:hAnsi="Arial" w:cs="Arial"/>
                <w:sz w:val="18"/>
                <w:szCs w:val="18"/>
              </w:rPr>
              <w:t>TAC</w:t>
            </w:r>
            <w:r w:rsidR="005D7229" w:rsidRPr="00092FC6">
              <w:rPr>
                <w:rFonts w:ascii="Arial" w:hAnsi="Arial" w:cs="Arial"/>
                <w:sz w:val="18"/>
                <w:szCs w:val="18"/>
              </w:rPr>
              <w:t>-</w:t>
            </w:r>
            <w:r w:rsidRPr="00092FC6">
              <w:rPr>
                <w:rFonts w:ascii="Arial" w:hAnsi="Arial" w:cs="Arial"/>
                <w:sz w:val="18"/>
                <w:szCs w:val="18"/>
              </w:rPr>
              <w:t>CAG</w:t>
            </w:r>
            <w:r w:rsidR="005D7229" w:rsidRPr="00092FC6">
              <w:rPr>
                <w:rFonts w:ascii="Arial" w:hAnsi="Arial" w:cs="Arial"/>
                <w:sz w:val="18"/>
                <w:szCs w:val="18"/>
              </w:rPr>
              <w:t>-</w:t>
            </w:r>
            <w:r w:rsidRPr="00092FC6">
              <w:rPr>
                <w:rFonts w:ascii="Arial" w:hAnsi="Arial" w:cs="Arial"/>
                <w:sz w:val="18"/>
                <w:szCs w:val="18"/>
              </w:rPr>
              <w:t>GAT</w:t>
            </w:r>
            <w:r w:rsidR="005D7229" w:rsidRPr="00092FC6">
              <w:rPr>
                <w:rFonts w:ascii="Arial" w:hAnsi="Arial" w:cs="Arial"/>
                <w:sz w:val="18"/>
                <w:szCs w:val="18"/>
              </w:rPr>
              <w:t>-</w:t>
            </w:r>
            <w:r w:rsidRPr="00092FC6">
              <w:rPr>
                <w:rFonts w:ascii="Arial" w:hAnsi="Arial" w:cs="Arial"/>
                <w:sz w:val="18"/>
                <w:szCs w:val="18"/>
              </w:rPr>
              <w:t>AGC</w:t>
            </w:r>
          </w:p>
        </w:tc>
        <w:tc>
          <w:tcPr>
            <w:tcW w:w="1156" w:type="dxa"/>
          </w:tcPr>
          <w:p w14:paraId="2478DAB3" w14:textId="32EFC295"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NVSL</w:t>
            </w:r>
          </w:p>
        </w:tc>
      </w:tr>
      <w:tr w:rsidR="00470354" w:rsidRPr="00092FC6" w14:paraId="0CFC3A7E" w14:textId="4B6ACD08" w:rsidTr="00AE651F">
        <w:tc>
          <w:tcPr>
            <w:tcW w:w="1142" w:type="dxa"/>
            <w:vAlign w:val="center"/>
          </w:tcPr>
          <w:p w14:paraId="04D056CE" w14:textId="60FEA5F2"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VEE I-AB/C/D</w:t>
            </w:r>
            <w:r w:rsidR="005D7229" w:rsidRPr="00092FC6">
              <w:rPr>
                <w:rFonts w:ascii="Arial" w:hAnsi="Arial" w:cs="Arial"/>
                <w:sz w:val="18"/>
                <w:szCs w:val="18"/>
              </w:rPr>
              <w:br/>
            </w:r>
            <w:r w:rsidRPr="00092FC6">
              <w:rPr>
                <w:rFonts w:ascii="Arial" w:hAnsi="Arial" w:cs="Arial"/>
                <w:sz w:val="18"/>
                <w:szCs w:val="18"/>
              </w:rPr>
              <w:t>(1</w:t>
            </w:r>
            <w:r w:rsidRPr="00092FC6">
              <w:rPr>
                <w:rFonts w:ascii="Arial" w:hAnsi="Arial" w:cs="Arial"/>
                <w:sz w:val="18"/>
                <w:szCs w:val="18"/>
                <w:vertAlign w:val="superscript"/>
              </w:rPr>
              <w:t>st</w:t>
            </w:r>
            <w:r w:rsidRPr="00092FC6">
              <w:rPr>
                <w:rFonts w:ascii="Arial" w:hAnsi="Arial" w:cs="Arial"/>
                <w:sz w:val="18"/>
                <w:szCs w:val="18"/>
              </w:rPr>
              <w:t xml:space="preserve"> stage)</w:t>
            </w:r>
          </w:p>
        </w:tc>
        <w:tc>
          <w:tcPr>
            <w:tcW w:w="1300" w:type="dxa"/>
            <w:vAlign w:val="center"/>
          </w:tcPr>
          <w:p w14:paraId="479EC380" w14:textId="036BD433" w:rsidR="00306987" w:rsidRPr="00092FC6" w:rsidRDefault="00306987" w:rsidP="005D7229">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9215</w:t>
            </w:r>
            <w:r w:rsidR="005D7229" w:rsidRPr="00092FC6">
              <w:rPr>
                <w:rFonts w:ascii="Arial" w:hAnsi="Arial" w:cs="Arial"/>
                <w:sz w:val="18"/>
                <w:szCs w:val="18"/>
              </w:rPr>
              <w:t>–</w:t>
            </w:r>
            <w:r w:rsidRPr="00092FC6">
              <w:rPr>
                <w:rFonts w:ascii="Arial" w:hAnsi="Arial" w:cs="Arial"/>
                <w:sz w:val="18"/>
                <w:szCs w:val="18"/>
              </w:rPr>
              <w:t>9776</w:t>
            </w:r>
          </w:p>
        </w:tc>
        <w:tc>
          <w:tcPr>
            <w:tcW w:w="1037" w:type="dxa"/>
            <w:vAlign w:val="center"/>
          </w:tcPr>
          <w:p w14:paraId="30BED4DA" w14:textId="35D925DF"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562</w:t>
            </w:r>
          </w:p>
        </w:tc>
        <w:tc>
          <w:tcPr>
            <w:tcW w:w="4066" w:type="dxa"/>
            <w:vAlign w:val="center"/>
          </w:tcPr>
          <w:p w14:paraId="23F87063" w14:textId="1216294D"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F: AGC</w:t>
            </w:r>
            <w:r w:rsidR="005D7229" w:rsidRPr="00092FC6">
              <w:rPr>
                <w:rFonts w:ascii="Arial" w:hAnsi="Arial" w:cs="Arial"/>
                <w:sz w:val="18"/>
                <w:szCs w:val="18"/>
              </w:rPr>
              <w:t>-</w:t>
            </w:r>
            <w:r w:rsidRPr="00092FC6">
              <w:rPr>
                <w:rFonts w:ascii="Arial" w:hAnsi="Arial" w:cs="Arial"/>
                <w:sz w:val="18"/>
                <w:szCs w:val="18"/>
              </w:rPr>
              <w:t>CAG</w:t>
            </w:r>
            <w:r w:rsidR="005D7229" w:rsidRPr="00092FC6">
              <w:rPr>
                <w:rFonts w:ascii="Arial" w:hAnsi="Arial" w:cs="Arial"/>
                <w:sz w:val="18"/>
                <w:szCs w:val="18"/>
              </w:rPr>
              <w:t>-</w:t>
            </w:r>
            <w:r w:rsidRPr="00092FC6">
              <w:rPr>
                <w:rFonts w:ascii="Arial" w:hAnsi="Arial" w:cs="Arial"/>
                <w:sz w:val="18"/>
                <w:szCs w:val="18"/>
              </w:rPr>
              <w:t>TGC</w:t>
            </w:r>
            <w:r w:rsidR="005D7229" w:rsidRPr="00092FC6">
              <w:rPr>
                <w:rFonts w:ascii="Arial" w:hAnsi="Arial" w:cs="Arial"/>
                <w:sz w:val="18"/>
                <w:szCs w:val="18"/>
              </w:rPr>
              <w:t>-</w:t>
            </w:r>
            <w:r w:rsidRPr="00092FC6">
              <w:rPr>
                <w:rFonts w:ascii="Arial" w:hAnsi="Arial" w:cs="Arial"/>
                <w:sz w:val="18"/>
                <w:szCs w:val="18"/>
              </w:rPr>
              <w:t>ACA</w:t>
            </w:r>
            <w:r w:rsidR="005D7229" w:rsidRPr="00092FC6">
              <w:rPr>
                <w:rFonts w:ascii="Arial" w:hAnsi="Arial" w:cs="Arial"/>
                <w:sz w:val="18"/>
                <w:szCs w:val="18"/>
              </w:rPr>
              <w:t>-</w:t>
            </w:r>
            <w:r w:rsidRPr="00092FC6">
              <w:rPr>
                <w:rFonts w:ascii="Arial" w:hAnsi="Arial" w:cs="Arial"/>
                <w:sz w:val="18"/>
                <w:szCs w:val="18"/>
              </w:rPr>
              <w:t>AAG</w:t>
            </w:r>
            <w:r w:rsidR="005D7229" w:rsidRPr="00092FC6">
              <w:rPr>
                <w:rFonts w:ascii="Arial" w:hAnsi="Arial" w:cs="Arial"/>
                <w:sz w:val="18"/>
                <w:szCs w:val="18"/>
              </w:rPr>
              <w:t>-</w:t>
            </w:r>
            <w:r w:rsidRPr="00092FC6">
              <w:rPr>
                <w:rFonts w:ascii="Arial" w:hAnsi="Arial" w:cs="Arial"/>
                <w:sz w:val="18"/>
                <w:szCs w:val="18"/>
              </w:rPr>
              <w:t>AAG</w:t>
            </w:r>
            <w:r w:rsidR="005D7229" w:rsidRPr="00092FC6">
              <w:rPr>
                <w:rFonts w:ascii="Arial" w:hAnsi="Arial" w:cs="Arial"/>
                <w:sz w:val="18"/>
                <w:szCs w:val="18"/>
              </w:rPr>
              <w:br/>
            </w:r>
            <w:r w:rsidRPr="00092FC6">
              <w:rPr>
                <w:rFonts w:ascii="Arial" w:hAnsi="Arial" w:cs="Arial"/>
                <w:sz w:val="18"/>
                <w:szCs w:val="18"/>
              </w:rPr>
              <w:t>R: TAG</w:t>
            </w:r>
            <w:r w:rsidR="005D7229" w:rsidRPr="00092FC6">
              <w:rPr>
                <w:rFonts w:ascii="Arial" w:hAnsi="Arial" w:cs="Arial"/>
                <w:sz w:val="18"/>
                <w:szCs w:val="18"/>
              </w:rPr>
              <w:t>-</w:t>
            </w:r>
            <w:r w:rsidRPr="00092FC6">
              <w:rPr>
                <w:rFonts w:ascii="Arial" w:hAnsi="Arial" w:cs="Arial"/>
                <w:sz w:val="18"/>
                <w:szCs w:val="18"/>
              </w:rPr>
              <w:t>GTG</w:t>
            </w:r>
            <w:r w:rsidR="005D7229" w:rsidRPr="00092FC6">
              <w:rPr>
                <w:rFonts w:ascii="Arial" w:hAnsi="Arial" w:cs="Arial"/>
                <w:sz w:val="18"/>
                <w:szCs w:val="18"/>
              </w:rPr>
              <w:t>-</w:t>
            </w:r>
            <w:r w:rsidRPr="00092FC6">
              <w:rPr>
                <w:rFonts w:ascii="Arial" w:hAnsi="Arial" w:cs="Arial"/>
                <w:sz w:val="18"/>
                <w:szCs w:val="18"/>
              </w:rPr>
              <w:t>TTA</w:t>
            </w:r>
            <w:r w:rsidR="005D7229" w:rsidRPr="00092FC6">
              <w:rPr>
                <w:rFonts w:ascii="Arial" w:hAnsi="Arial" w:cs="Arial"/>
                <w:sz w:val="18"/>
                <w:szCs w:val="18"/>
              </w:rPr>
              <w:t>-</w:t>
            </w:r>
            <w:r w:rsidRPr="00092FC6">
              <w:rPr>
                <w:rFonts w:ascii="Arial" w:hAnsi="Arial" w:cs="Arial"/>
                <w:sz w:val="18"/>
                <w:szCs w:val="18"/>
              </w:rPr>
              <w:t>GCC</w:t>
            </w:r>
            <w:r w:rsidR="005D7229" w:rsidRPr="00092FC6">
              <w:rPr>
                <w:rFonts w:ascii="Arial" w:hAnsi="Arial" w:cs="Arial"/>
                <w:sz w:val="18"/>
                <w:szCs w:val="18"/>
              </w:rPr>
              <w:t>-</w:t>
            </w:r>
            <w:r w:rsidRPr="00092FC6">
              <w:rPr>
                <w:rFonts w:ascii="Arial" w:hAnsi="Arial" w:cs="Arial"/>
                <w:sz w:val="18"/>
                <w:szCs w:val="18"/>
              </w:rPr>
              <w:t>GGT</w:t>
            </w:r>
            <w:r w:rsidR="005D7229" w:rsidRPr="00092FC6">
              <w:rPr>
                <w:rFonts w:ascii="Arial" w:hAnsi="Arial" w:cs="Arial"/>
                <w:sz w:val="18"/>
                <w:szCs w:val="18"/>
              </w:rPr>
              <w:t>-</w:t>
            </w:r>
            <w:r w:rsidRPr="00092FC6">
              <w:rPr>
                <w:rFonts w:ascii="Arial" w:hAnsi="Arial" w:cs="Arial"/>
                <w:sz w:val="18"/>
                <w:szCs w:val="18"/>
              </w:rPr>
              <w:t>AAG</w:t>
            </w:r>
          </w:p>
        </w:tc>
        <w:tc>
          <w:tcPr>
            <w:tcW w:w="1156" w:type="dxa"/>
          </w:tcPr>
          <w:p w14:paraId="5B489B19" w14:textId="3FF237FB"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NVSL</w:t>
            </w:r>
          </w:p>
        </w:tc>
      </w:tr>
      <w:tr w:rsidR="00470354" w:rsidRPr="00092FC6" w14:paraId="4B85B576" w14:textId="0B72FD34" w:rsidTr="00AE651F">
        <w:tc>
          <w:tcPr>
            <w:tcW w:w="1142" w:type="dxa"/>
            <w:vAlign w:val="center"/>
          </w:tcPr>
          <w:p w14:paraId="5FC7F3E2" w14:textId="49CF45C6"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VEE I-AB/C/D</w:t>
            </w:r>
            <w:r w:rsidR="005D7229" w:rsidRPr="00092FC6">
              <w:rPr>
                <w:rFonts w:ascii="Arial" w:hAnsi="Arial" w:cs="Arial"/>
                <w:sz w:val="18"/>
                <w:szCs w:val="18"/>
              </w:rPr>
              <w:br/>
            </w:r>
            <w:r w:rsidRPr="00092FC6">
              <w:rPr>
                <w:rFonts w:ascii="Arial" w:hAnsi="Arial" w:cs="Arial"/>
                <w:sz w:val="18"/>
                <w:szCs w:val="18"/>
              </w:rPr>
              <w:t>(nested)</w:t>
            </w:r>
          </w:p>
        </w:tc>
        <w:tc>
          <w:tcPr>
            <w:tcW w:w="1300" w:type="dxa"/>
            <w:vAlign w:val="center"/>
          </w:tcPr>
          <w:p w14:paraId="14E41353" w14:textId="79F717E4"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9536</w:t>
            </w:r>
            <w:r w:rsidR="005D7229" w:rsidRPr="00092FC6">
              <w:rPr>
                <w:rFonts w:ascii="Arial" w:hAnsi="Arial" w:cs="Arial"/>
                <w:sz w:val="18"/>
                <w:szCs w:val="18"/>
              </w:rPr>
              <w:t>–</w:t>
            </w:r>
            <w:r w:rsidRPr="00092FC6">
              <w:rPr>
                <w:rFonts w:ascii="Arial" w:hAnsi="Arial" w:cs="Arial"/>
                <w:sz w:val="18"/>
                <w:szCs w:val="18"/>
              </w:rPr>
              <w:t>9671</w:t>
            </w:r>
          </w:p>
        </w:tc>
        <w:tc>
          <w:tcPr>
            <w:tcW w:w="1037" w:type="dxa"/>
            <w:vAlign w:val="center"/>
          </w:tcPr>
          <w:p w14:paraId="0CC6120D" w14:textId="45D57ED3"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136</w:t>
            </w:r>
          </w:p>
        </w:tc>
        <w:tc>
          <w:tcPr>
            <w:tcW w:w="4066" w:type="dxa"/>
            <w:vAlign w:val="center"/>
          </w:tcPr>
          <w:p w14:paraId="25AF275C" w14:textId="54B90E52"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F: GGG</w:t>
            </w:r>
            <w:r w:rsidR="005D7229" w:rsidRPr="00092FC6">
              <w:rPr>
                <w:rFonts w:ascii="Arial" w:hAnsi="Arial" w:cs="Arial"/>
                <w:sz w:val="18"/>
                <w:szCs w:val="18"/>
              </w:rPr>
              <w:t>-</w:t>
            </w:r>
            <w:r w:rsidRPr="00092FC6">
              <w:rPr>
                <w:rFonts w:ascii="Arial" w:hAnsi="Arial" w:cs="Arial"/>
                <w:sz w:val="18"/>
                <w:szCs w:val="18"/>
              </w:rPr>
              <w:t>TGG</w:t>
            </w:r>
            <w:r w:rsidR="005D7229" w:rsidRPr="00092FC6">
              <w:rPr>
                <w:rFonts w:ascii="Arial" w:hAnsi="Arial" w:cs="Arial"/>
                <w:sz w:val="18"/>
                <w:szCs w:val="18"/>
              </w:rPr>
              <w:t>-</w:t>
            </w:r>
            <w:r w:rsidRPr="00092FC6">
              <w:rPr>
                <w:rFonts w:ascii="Arial" w:hAnsi="Arial" w:cs="Arial"/>
                <w:sz w:val="18"/>
                <w:szCs w:val="18"/>
              </w:rPr>
              <w:t>GAG</w:t>
            </w:r>
            <w:r w:rsidR="005D7229" w:rsidRPr="00092FC6">
              <w:rPr>
                <w:rFonts w:ascii="Arial" w:hAnsi="Arial" w:cs="Arial"/>
                <w:sz w:val="18"/>
                <w:szCs w:val="18"/>
              </w:rPr>
              <w:t>-</w:t>
            </w:r>
            <w:r w:rsidRPr="00092FC6">
              <w:rPr>
                <w:rFonts w:ascii="Arial" w:hAnsi="Arial" w:cs="Arial"/>
                <w:sz w:val="18"/>
                <w:szCs w:val="18"/>
              </w:rPr>
              <w:t>TTT</w:t>
            </w:r>
            <w:r w:rsidR="005D7229" w:rsidRPr="00092FC6">
              <w:rPr>
                <w:rFonts w:ascii="Arial" w:hAnsi="Arial" w:cs="Arial"/>
                <w:sz w:val="18"/>
                <w:szCs w:val="18"/>
              </w:rPr>
              <w:t>-</w:t>
            </w:r>
            <w:r w:rsidRPr="00092FC6">
              <w:rPr>
                <w:rFonts w:ascii="Arial" w:hAnsi="Arial" w:cs="Arial"/>
                <w:sz w:val="18"/>
                <w:szCs w:val="18"/>
              </w:rPr>
              <w:t>GTA</w:t>
            </w:r>
            <w:r w:rsidR="005D7229" w:rsidRPr="00092FC6">
              <w:rPr>
                <w:rFonts w:ascii="Arial" w:hAnsi="Arial" w:cs="Arial"/>
                <w:sz w:val="18"/>
                <w:szCs w:val="18"/>
              </w:rPr>
              <w:t>-</w:t>
            </w:r>
            <w:r w:rsidRPr="00092FC6">
              <w:rPr>
                <w:rFonts w:ascii="Arial" w:hAnsi="Arial" w:cs="Arial"/>
                <w:sz w:val="18"/>
                <w:szCs w:val="18"/>
              </w:rPr>
              <w:t>TGG</w:t>
            </w:r>
            <w:r w:rsidR="005D7229" w:rsidRPr="00092FC6">
              <w:rPr>
                <w:rFonts w:ascii="Arial" w:hAnsi="Arial" w:cs="Arial"/>
                <w:sz w:val="18"/>
                <w:szCs w:val="18"/>
              </w:rPr>
              <w:br/>
            </w:r>
            <w:r w:rsidRPr="00092FC6">
              <w:rPr>
                <w:rFonts w:ascii="Arial" w:hAnsi="Arial" w:cs="Arial"/>
                <w:sz w:val="18"/>
                <w:szCs w:val="18"/>
              </w:rPr>
              <w:t>R: CCA</w:t>
            </w:r>
            <w:r w:rsidR="005D7229" w:rsidRPr="00092FC6">
              <w:rPr>
                <w:rFonts w:ascii="Arial" w:hAnsi="Arial" w:cs="Arial"/>
                <w:sz w:val="18"/>
                <w:szCs w:val="18"/>
              </w:rPr>
              <w:t>-</w:t>
            </w:r>
            <w:r w:rsidRPr="00092FC6">
              <w:rPr>
                <w:rFonts w:ascii="Arial" w:hAnsi="Arial" w:cs="Arial"/>
                <w:sz w:val="18"/>
                <w:szCs w:val="18"/>
              </w:rPr>
              <w:t>GGA</w:t>
            </w:r>
            <w:r w:rsidR="005D7229" w:rsidRPr="00092FC6">
              <w:rPr>
                <w:rFonts w:ascii="Arial" w:hAnsi="Arial" w:cs="Arial"/>
                <w:sz w:val="18"/>
                <w:szCs w:val="18"/>
              </w:rPr>
              <w:t>-</w:t>
            </w:r>
            <w:r w:rsidRPr="00092FC6">
              <w:rPr>
                <w:rFonts w:ascii="Arial" w:hAnsi="Arial" w:cs="Arial"/>
                <w:sz w:val="18"/>
                <w:szCs w:val="18"/>
              </w:rPr>
              <w:t>TGG</w:t>
            </w:r>
            <w:r w:rsidR="005D7229" w:rsidRPr="00092FC6">
              <w:rPr>
                <w:rFonts w:ascii="Arial" w:hAnsi="Arial" w:cs="Arial"/>
                <w:sz w:val="18"/>
                <w:szCs w:val="18"/>
              </w:rPr>
              <w:t>-</w:t>
            </w:r>
            <w:r w:rsidRPr="00092FC6">
              <w:rPr>
                <w:rFonts w:ascii="Arial" w:hAnsi="Arial" w:cs="Arial"/>
                <w:sz w:val="18"/>
                <w:szCs w:val="18"/>
              </w:rPr>
              <w:t>TGG</w:t>
            </w:r>
            <w:r w:rsidR="005D7229" w:rsidRPr="00092FC6">
              <w:rPr>
                <w:rFonts w:ascii="Arial" w:hAnsi="Arial" w:cs="Arial"/>
                <w:sz w:val="18"/>
                <w:szCs w:val="18"/>
              </w:rPr>
              <w:t>-</w:t>
            </w:r>
            <w:r w:rsidRPr="00092FC6">
              <w:rPr>
                <w:rFonts w:ascii="Arial" w:hAnsi="Arial" w:cs="Arial"/>
                <w:sz w:val="18"/>
                <w:szCs w:val="18"/>
              </w:rPr>
              <w:t>ACA</w:t>
            </w:r>
            <w:r w:rsidR="005D7229" w:rsidRPr="00092FC6">
              <w:rPr>
                <w:rFonts w:ascii="Arial" w:hAnsi="Arial" w:cs="Arial"/>
                <w:sz w:val="18"/>
                <w:szCs w:val="18"/>
              </w:rPr>
              <w:t>-</w:t>
            </w:r>
            <w:r w:rsidRPr="00092FC6">
              <w:rPr>
                <w:rFonts w:ascii="Arial" w:hAnsi="Arial" w:cs="Arial"/>
                <w:sz w:val="18"/>
                <w:szCs w:val="18"/>
              </w:rPr>
              <w:t>TAG</w:t>
            </w:r>
          </w:p>
        </w:tc>
        <w:tc>
          <w:tcPr>
            <w:tcW w:w="1156" w:type="dxa"/>
          </w:tcPr>
          <w:p w14:paraId="556875AD" w14:textId="17A98595"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NVSL</w:t>
            </w:r>
          </w:p>
        </w:tc>
      </w:tr>
      <w:tr w:rsidR="00470354" w:rsidRPr="00092FC6" w14:paraId="6F902791" w14:textId="23775A1F" w:rsidTr="00AE651F">
        <w:tc>
          <w:tcPr>
            <w:tcW w:w="1142" w:type="dxa"/>
            <w:vAlign w:val="center"/>
          </w:tcPr>
          <w:p w14:paraId="1591AE2C" w14:textId="35A8B596"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VEE I-E</w:t>
            </w:r>
            <w:r w:rsidR="005D7229" w:rsidRPr="00092FC6">
              <w:rPr>
                <w:rFonts w:ascii="Arial" w:hAnsi="Arial" w:cs="Arial"/>
                <w:sz w:val="18"/>
                <w:szCs w:val="18"/>
              </w:rPr>
              <w:br/>
            </w:r>
            <w:r w:rsidRPr="00092FC6">
              <w:rPr>
                <w:rFonts w:ascii="Arial" w:hAnsi="Arial" w:cs="Arial"/>
                <w:sz w:val="18"/>
                <w:szCs w:val="18"/>
              </w:rPr>
              <w:t>(1</w:t>
            </w:r>
            <w:r w:rsidRPr="00092FC6">
              <w:rPr>
                <w:rFonts w:ascii="Arial" w:hAnsi="Arial" w:cs="Arial"/>
                <w:sz w:val="18"/>
                <w:szCs w:val="18"/>
                <w:vertAlign w:val="superscript"/>
              </w:rPr>
              <w:t>st</w:t>
            </w:r>
            <w:r w:rsidRPr="00092FC6">
              <w:rPr>
                <w:rFonts w:ascii="Arial" w:hAnsi="Arial" w:cs="Arial"/>
                <w:sz w:val="18"/>
                <w:szCs w:val="18"/>
              </w:rPr>
              <w:t xml:space="preserve"> stage)</w:t>
            </w:r>
          </w:p>
        </w:tc>
        <w:tc>
          <w:tcPr>
            <w:tcW w:w="1300" w:type="dxa"/>
            <w:vAlign w:val="center"/>
          </w:tcPr>
          <w:p w14:paraId="10D38330" w14:textId="5688A417"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9611</w:t>
            </w:r>
            <w:r w:rsidR="005D7229" w:rsidRPr="00092FC6">
              <w:rPr>
                <w:rFonts w:ascii="Arial" w:hAnsi="Arial" w:cs="Arial"/>
                <w:sz w:val="18"/>
                <w:szCs w:val="18"/>
              </w:rPr>
              <w:t>–</w:t>
            </w:r>
            <w:r w:rsidRPr="00092FC6">
              <w:rPr>
                <w:rFonts w:ascii="Arial" w:hAnsi="Arial" w:cs="Arial"/>
                <w:sz w:val="18"/>
                <w:szCs w:val="18"/>
              </w:rPr>
              <w:t>10085</w:t>
            </w:r>
          </w:p>
        </w:tc>
        <w:tc>
          <w:tcPr>
            <w:tcW w:w="1037" w:type="dxa"/>
            <w:vAlign w:val="center"/>
          </w:tcPr>
          <w:p w14:paraId="1D5C7A91" w14:textId="7EB5EF16"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475</w:t>
            </w:r>
          </w:p>
        </w:tc>
        <w:tc>
          <w:tcPr>
            <w:tcW w:w="4066" w:type="dxa"/>
            <w:vAlign w:val="center"/>
          </w:tcPr>
          <w:p w14:paraId="7FD6D401" w14:textId="519A4965"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F: GTA</w:t>
            </w:r>
            <w:r w:rsidR="005D7229" w:rsidRPr="00092FC6">
              <w:rPr>
                <w:rFonts w:ascii="Arial" w:hAnsi="Arial" w:cs="Arial"/>
                <w:sz w:val="18"/>
                <w:szCs w:val="18"/>
              </w:rPr>
              <w:t>-</w:t>
            </w:r>
            <w:r w:rsidRPr="00092FC6">
              <w:rPr>
                <w:rFonts w:ascii="Arial" w:hAnsi="Arial" w:cs="Arial"/>
                <w:sz w:val="18"/>
                <w:szCs w:val="18"/>
              </w:rPr>
              <w:t>ATC</w:t>
            </w:r>
            <w:r w:rsidR="005D7229" w:rsidRPr="00092FC6">
              <w:rPr>
                <w:rFonts w:ascii="Arial" w:hAnsi="Arial" w:cs="Arial"/>
                <w:sz w:val="18"/>
                <w:szCs w:val="18"/>
              </w:rPr>
              <w:t>-</w:t>
            </w:r>
            <w:r w:rsidRPr="00092FC6">
              <w:rPr>
                <w:rFonts w:ascii="Arial" w:hAnsi="Arial" w:cs="Arial"/>
                <w:sz w:val="18"/>
                <w:szCs w:val="18"/>
              </w:rPr>
              <w:t>CAC</w:t>
            </w:r>
            <w:r w:rsidR="005D7229" w:rsidRPr="00092FC6">
              <w:rPr>
                <w:rFonts w:ascii="Arial" w:hAnsi="Arial" w:cs="Arial"/>
                <w:sz w:val="18"/>
                <w:szCs w:val="18"/>
              </w:rPr>
              <w:t>-</w:t>
            </w:r>
            <w:r w:rsidRPr="00092FC6">
              <w:rPr>
                <w:rFonts w:ascii="Arial" w:hAnsi="Arial" w:cs="Arial"/>
                <w:sz w:val="18"/>
                <w:szCs w:val="18"/>
              </w:rPr>
              <w:t>ACG</w:t>
            </w:r>
            <w:r w:rsidR="005D7229" w:rsidRPr="00092FC6">
              <w:rPr>
                <w:rFonts w:ascii="Arial" w:hAnsi="Arial" w:cs="Arial"/>
                <w:sz w:val="18"/>
                <w:szCs w:val="18"/>
              </w:rPr>
              <w:t>-</w:t>
            </w:r>
            <w:r w:rsidRPr="00092FC6">
              <w:rPr>
                <w:rFonts w:ascii="Arial" w:hAnsi="Arial" w:cs="Arial"/>
                <w:sz w:val="18"/>
                <w:szCs w:val="18"/>
              </w:rPr>
              <w:t>GAC</w:t>
            </w:r>
            <w:r w:rsidR="005D7229" w:rsidRPr="00092FC6">
              <w:rPr>
                <w:rFonts w:ascii="Arial" w:hAnsi="Arial" w:cs="Arial"/>
                <w:sz w:val="18"/>
                <w:szCs w:val="18"/>
              </w:rPr>
              <w:t>-</w:t>
            </w:r>
            <w:r w:rsidRPr="00092FC6">
              <w:rPr>
                <w:rFonts w:ascii="Arial" w:hAnsi="Arial" w:cs="Arial"/>
                <w:sz w:val="18"/>
                <w:szCs w:val="18"/>
              </w:rPr>
              <w:t>TAC</w:t>
            </w:r>
            <w:r w:rsidR="005D7229" w:rsidRPr="00092FC6">
              <w:rPr>
                <w:rFonts w:ascii="Arial" w:hAnsi="Arial" w:cs="Arial"/>
                <w:sz w:val="18"/>
                <w:szCs w:val="18"/>
              </w:rPr>
              <w:br/>
            </w:r>
            <w:r w:rsidRPr="00092FC6">
              <w:rPr>
                <w:rFonts w:ascii="Arial" w:hAnsi="Arial" w:cs="Arial"/>
                <w:sz w:val="18"/>
                <w:szCs w:val="18"/>
              </w:rPr>
              <w:t>R: GCA</w:t>
            </w:r>
            <w:r w:rsidR="005D7229" w:rsidRPr="00092FC6">
              <w:rPr>
                <w:rFonts w:ascii="Arial" w:hAnsi="Arial" w:cs="Arial"/>
                <w:sz w:val="18"/>
                <w:szCs w:val="18"/>
              </w:rPr>
              <w:t>-</w:t>
            </w:r>
            <w:r w:rsidRPr="00092FC6">
              <w:rPr>
                <w:rFonts w:ascii="Arial" w:hAnsi="Arial" w:cs="Arial"/>
                <w:sz w:val="18"/>
                <w:szCs w:val="18"/>
              </w:rPr>
              <w:t>TAA</w:t>
            </w:r>
            <w:r w:rsidR="005D7229" w:rsidRPr="00092FC6">
              <w:rPr>
                <w:rFonts w:ascii="Arial" w:hAnsi="Arial" w:cs="Arial"/>
                <w:sz w:val="18"/>
                <w:szCs w:val="18"/>
              </w:rPr>
              <w:t>-</w:t>
            </w:r>
            <w:r w:rsidRPr="00092FC6">
              <w:rPr>
                <w:rFonts w:ascii="Arial" w:hAnsi="Arial" w:cs="Arial"/>
                <w:sz w:val="18"/>
                <w:szCs w:val="18"/>
              </w:rPr>
              <w:t>CCC</w:t>
            </w:r>
            <w:r w:rsidR="005D7229" w:rsidRPr="00092FC6">
              <w:rPr>
                <w:rFonts w:ascii="Arial" w:hAnsi="Arial" w:cs="Arial"/>
                <w:sz w:val="18"/>
                <w:szCs w:val="18"/>
              </w:rPr>
              <w:t>-</w:t>
            </w:r>
            <w:r w:rsidRPr="00092FC6">
              <w:rPr>
                <w:rFonts w:ascii="Arial" w:hAnsi="Arial" w:cs="Arial"/>
                <w:sz w:val="18"/>
                <w:szCs w:val="18"/>
              </w:rPr>
              <w:t>GCT</w:t>
            </w:r>
            <w:r w:rsidR="005D7229" w:rsidRPr="00092FC6">
              <w:rPr>
                <w:rFonts w:ascii="Arial" w:hAnsi="Arial" w:cs="Arial"/>
                <w:sz w:val="18"/>
                <w:szCs w:val="18"/>
              </w:rPr>
              <w:t>-</w:t>
            </w:r>
            <w:r w:rsidRPr="00092FC6">
              <w:rPr>
                <w:rFonts w:ascii="Arial" w:hAnsi="Arial" w:cs="Arial"/>
                <w:sz w:val="18"/>
                <w:szCs w:val="18"/>
              </w:rPr>
              <w:t>CTG</w:t>
            </w:r>
            <w:r w:rsidR="005D7229" w:rsidRPr="00092FC6">
              <w:rPr>
                <w:rFonts w:ascii="Arial" w:hAnsi="Arial" w:cs="Arial"/>
                <w:sz w:val="18"/>
                <w:szCs w:val="18"/>
              </w:rPr>
              <w:t>-</w:t>
            </w:r>
            <w:r w:rsidRPr="00092FC6">
              <w:rPr>
                <w:rFonts w:ascii="Arial" w:hAnsi="Arial" w:cs="Arial"/>
                <w:sz w:val="18"/>
                <w:szCs w:val="18"/>
              </w:rPr>
              <w:t>TTG</w:t>
            </w:r>
          </w:p>
        </w:tc>
        <w:tc>
          <w:tcPr>
            <w:tcW w:w="1156" w:type="dxa"/>
          </w:tcPr>
          <w:p w14:paraId="34C91CCC" w14:textId="694BC409"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NVSL</w:t>
            </w:r>
          </w:p>
        </w:tc>
      </w:tr>
      <w:tr w:rsidR="00470354" w:rsidRPr="00092FC6" w14:paraId="030012B8" w14:textId="2262872B" w:rsidTr="00AE651F">
        <w:tc>
          <w:tcPr>
            <w:tcW w:w="1142" w:type="dxa"/>
            <w:vAlign w:val="center"/>
          </w:tcPr>
          <w:p w14:paraId="3543D575" w14:textId="1266FA38"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VEE I-E</w:t>
            </w:r>
            <w:r w:rsidR="005D7229" w:rsidRPr="00092FC6">
              <w:rPr>
                <w:rFonts w:ascii="Arial" w:hAnsi="Arial" w:cs="Arial"/>
                <w:sz w:val="18"/>
                <w:szCs w:val="18"/>
              </w:rPr>
              <w:br/>
            </w:r>
            <w:r w:rsidRPr="00092FC6">
              <w:rPr>
                <w:rFonts w:ascii="Arial" w:hAnsi="Arial" w:cs="Arial"/>
                <w:sz w:val="18"/>
                <w:szCs w:val="18"/>
              </w:rPr>
              <w:t>(nested)</w:t>
            </w:r>
          </w:p>
        </w:tc>
        <w:tc>
          <w:tcPr>
            <w:tcW w:w="1300" w:type="dxa"/>
            <w:vAlign w:val="center"/>
          </w:tcPr>
          <w:p w14:paraId="0660A826" w14:textId="50FA0A97"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9794</w:t>
            </w:r>
            <w:r w:rsidR="005D7229" w:rsidRPr="00092FC6">
              <w:rPr>
                <w:rFonts w:ascii="Arial" w:hAnsi="Arial" w:cs="Arial"/>
                <w:sz w:val="18"/>
                <w:szCs w:val="18"/>
              </w:rPr>
              <w:t>–</w:t>
            </w:r>
            <w:r w:rsidRPr="00092FC6">
              <w:rPr>
                <w:rFonts w:ascii="Arial" w:hAnsi="Arial" w:cs="Arial"/>
                <w:sz w:val="18"/>
                <w:szCs w:val="18"/>
              </w:rPr>
              <w:t>9955</w:t>
            </w:r>
          </w:p>
        </w:tc>
        <w:tc>
          <w:tcPr>
            <w:tcW w:w="1037" w:type="dxa"/>
            <w:vAlign w:val="center"/>
          </w:tcPr>
          <w:p w14:paraId="451F6796" w14:textId="21A60219"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162</w:t>
            </w:r>
          </w:p>
        </w:tc>
        <w:tc>
          <w:tcPr>
            <w:tcW w:w="4066" w:type="dxa"/>
            <w:vAlign w:val="center"/>
          </w:tcPr>
          <w:p w14:paraId="60D5BEA8" w14:textId="2E1CBF28"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F: GCA</w:t>
            </w:r>
            <w:r w:rsidR="005D7229" w:rsidRPr="00092FC6">
              <w:rPr>
                <w:rFonts w:ascii="Arial" w:hAnsi="Arial" w:cs="Arial"/>
                <w:sz w:val="18"/>
                <w:szCs w:val="18"/>
              </w:rPr>
              <w:t>-</w:t>
            </w:r>
            <w:r w:rsidRPr="00092FC6">
              <w:rPr>
                <w:rFonts w:ascii="Arial" w:hAnsi="Arial" w:cs="Arial"/>
                <w:sz w:val="18"/>
                <w:szCs w:val="18"/>
              </w:rPr>
              <w:t>TGC</w:t>
            </w:r>
            <w:r w:rsidR="005D7229" w:rsidRPr="00092FC6">
              <w:rPr>
                <w:rFonts w:ascii="Arial" w:hAnsi="Arial" w:cs="Arial"/>
                <w:sz w:val="18"/>
                <w:szCs w:val="18"/>
              </w:rPr>
              <w:t>-</w:t>
            </w:r>
            <w:r w:rsidRPr="00092FC6">
              <w:rPr>
                <w:rFonts w:ascii="Arial" w:hAnsi="Arial" w:cs="Arial"/>
                <w:sz w:val="18"/>
                <w:szCs w:val="18"/>
              </w:rPr>
              <w:t>CTC</w:t>
            </w:r>
            <w:r w:rsidR="005D7229" w:rsidRPr="00092FC6">
              <w:rPr>
                <w:rFonts w:ascii="Arial" w:hAnsi="Arial" w:cs="Arial"/>
                <w:sz w:val="18"/>
                <w:szCs w:val="18"/>
              </w:rPr>
              <w:t>-</w:t>
            </w:r>
            <w:r w:rsidRPr="00092FC6">
              <w:rPr>
                <w:rFonts w:ascii="Arial" w:hAnsi="Arial" w:cs="Arial"/>
                <w:sz w:val="18"/>
                <w:szCs w:val="18"/>
              </w:rPr>
              <w:t>TGT</w:t>
            </w:r>
            <w:r w:rsidR="005D7229" w:rsidRPr="00092FC6">
              <w:rPr>
                <w:rFonts w:ascii="Arial" w:hAnsi="Arial" w:cs="Arial"/>
                <w:sz w:val="18"/>
                <w:szCs w:val="18"/>
              </w:rPr>
              <w:t>-</w:t>
            </w:r>
            <w:r w:rsidRPr="00092FC6">
              <w:rPr>
                <w:rFonts w:ascii="Arial" w:hAnsi="Arial" w:cs="Arial"/>
                <w:sz w:val="18"/>
                <w:szCs w:val="18"/>
              </w:rPr>
              <w:t>GCT</w:t>
            </w:r>
            <w:r w:rsidR="005D7229" w:rsidRPr="00092FC6">
              <w:rPr>
                <w:rFonts w:ascii="Arial" w:hAnsi="Arial" w:cs="Arial"/>
                <w:sz w:val="18"/>
                <w:szCs w:val="18"/>
              </w:rPr>
              <w:t>-</w:t>
            </w:r>
            <w:r w:rsidRPr="00092FC6">
              <w:rPr>
                <w:rFonts w:ascii="Arial" w:hAnsi="Arial" w:cs="Arial"/>
                <w:sz w:val="18"/>
                <w:szCs w:val="18"/>
              </w:rPr>
              <w:t>TAG</w:t>
            </w:r>
            <w:r w:rsidR="005D7229" w:rsidRPr="00092FC6">
              <w:rPr>
                <w:rFonts w:ascii="Arial" w:hAnsi="Arial" w:cs="Arial"/>
                <w:sz w:val="18"/>
                <w:szCs w:val="18"/>
              </w:rPr>
              <w:br/>
            </w:r>
            <w:r w:rsidRPr="00092FC6">
              <w:rPr>
                <w:rFonts w:ascii="Arial" w:hAnsi="Arial" w:cs="Arial"/>
                <w:sz w:val="18"/>
                <w:szCs w:val="18"/>
              </w:rPr>
              <w:t>R: ATT</w:t>
            </w:r>
            <w:r w:rsidR="005D7229" w:rsidRPr="00092FC6">
              <w:rPr>
                <w:rFonts w:ascii="Arial" w:hAnsi="Arial" w:cs="Arial"/>
                <w:sz w:val="18"/>
                <w:szCs w:val="18"/>
              </w:rPr>
              <w:t>-</w:t>
            </w:r>
            <w:r w:rsidRPr="00092FC6">
              <w:rPr>
                <w:rFonts w:ascii="Arial" w:hAnsi="Arial" w:cs="Arial"/>
                <w:sz w:val="18"/>
                <w:szCs w:val="18"/>
              </w:rPr>
              <w:t>TCA</w:t>
            </w:r>
            <w:r w:rsidR="005D7229" w:rsidRPr="00092FC6">
              <w:rPr>
                <w:rFonts w:ascii="Arial" w:hAnsi="Arial" w:cs="Arial"/>
                <w:sz w:val="18"/>
                <w:szCs w:val="18"/>
              </w:rPr>
              <w:t>-</w:t>
            </w:r>
            <w:r w:rsidRPr="00092FC6">
              <w:rPr>
                <w:rFonts w:ascii="Arial" w:hAnsi="Arial" w:cs="Arial"/>
                <w:sz w:val="18"/>
                <w:szCs w:val="18"/>
              </w:rPr>
              <w:t>GCA</w:t>
            </w:r>
            <w:r w:rsidR="005D7229" w:rsidRPr="00092FC6">
              <w:rPr>
                <w:rFonts w:ascii="Arial" w:hAnsi="Arial" w:cs="Arial"/>
                <w:sz w:val="18"/>
                <w:szCs w:val="18"/>
              </w:rPr>
              <w:t>-</w:t>
            </w:r>
            <w:r w:rsidRPr="00092FC6">
              <w:rPr>
                <w:rFonts w:ascii="Arial" w:hAnsi="Arial" w:cs="Arial"/>
                <w:sz w:val="18"/>
                <w:szCs w:val="18"/>
              </w:rPr>
              <w:t>AGC</w:t>
            </w:r>
            <w:r w:rsidR="005D7229" w:rsidRPr="00092FC6">
              <w:rPr>
                <w:rFonts w:ascii="Arial" w:hAnsi="Arial" w:cs="Arial"/>
                <w:sz w:val="18"/>
                <w:szCs w:val="18"/>
              </w:rPr>
              <w:t>-</w:t>
            </w:r>
            <w:r w:rsidRPr="00092FC6">
              <w:rPr>
                <w:rFonts w:ascii="Arial" w:hAnsi="Arial" w:cs="Arial"/>
                <w:sz w:val="18"/>
                <w:szCs w:val="18"/>
              </w:rPr>
              <w:t>GGG</w:t>
            </w:r>
            <w:r w:rsidR="005D7229" w:rsidRPr="00092FC6">
              <w:rPr>
                <w:rFonts w:ascii="Arial" w:hAnsi="Arial" w:cs="Arial"/>
                <w:sz w:val="18"/>
                <w:szCs w:val="18"/>
              </w:rPr>
              <w:t>-</w:t>
            </w:r>
            <w:r w:rsidRPr="00092FC6">
              <w:rPr>
                <w:rFonts w:ascii="Arial" w:hAnsi="Arial" w:cs="Arial"/>
                <w:sz w:val="18"/>
                <w:szCs w:val="18"/>
              </w:rPr>
              <w:t>TAG</w:t>
            </w:r>
          </w:p>
        </w:tc>
        <w:tc>
          <w:tcPr>
            <w:tcW w:w="1156" w:type="dxa"/>
          </w:tcPr>
          <w:p w14:paraId="38E833EB" w14:textId="5B8A2581"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NVSL</w:t>
            </w:r>
          </w:p>
        </w:tc>
      </w:tr>
      <w:tr w:rsidR="00470354" w:rsidRPr="00092FC6" w14:paraId="7929D477" w14:textId="3F1C9A29" w:rsidTr="00AE651F">
        <w:tc>
          <w:tcPr>
            <w:tcW w:w="1142" w:type="dxa"/>
            <w:vAlign w:val="center"/>
          </w:tcPr>
          <w:p w14:paraId="625C7849" w14:textId="641EEE38"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 xml:space="preserve">VEE all </w:t>
            </w:r>
            <w:r w:rsidR="005D7229" w:rsidRPr="00092FC6">
              <w:rPr>
                <w:rFonts w:ascii="Arial" w:hAnsi="Arial" w:cs="Arial"/>
                <w:sz w:val="18"/>
                <w:szCs w:val="18"/>
              </w:rPr>
              <w:br/>
            </w:r>
            <w:r w:rsidRPr="00092FC6">
              <w:rPr>
                <w:rFonts w:ascii="Arial" w:hAnsi="Arial" w:cs="Arial"/>
                <w:sz w:val="18"/>
                <w:szCs w:val="18"/>
              </w:rPr>
              <w:t>(1</w:t>
            </w:r>
            <w:r w:rsidRPr="00092FC6">
              <w:rPr>
                <w:rFonts w:ascii="Arial" w:hAnsi="Arial" w:cs="Arial"/>
                <w:sz w:val="18"/>
                <w:szCs w:val="18"/>
                <w:vertAlign w:val="superscript"/>
              </w:rPr>
              <w:t>st</w:t>
            </w:r>
            <w:r w:rsidRPr="00092FC6">
              <w:rPr>
                <w:rFonts w:ascii="Arial" w:hAnsi="Arial" w:cs="Arial"/>
                <w:sz w:val="18"/>
                <w:szCs w:val="18"/>
              </w:rPr>
              <w:t xml:space="preserve"> stage)</w:t>
            </w:r>
          </w:p>
        </w:tc>
        <w:tc>
          <w:tcPr>
            <w:tcW w:w="1300" w:type="dxa"/>
            <w:vAlign w:val="center"/>
          </w:tcPr>
          <w:p w14:paraId="107F84C1" w14:textId="6C17FC28"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45</w:t>
            </w:r>
            <w:r w:rsidR="005D7229" w:rsidRPr="00092FC6">
              <w:rPr>
                <w:rFonts w:ascii="Arial" w:hAnsi="Arial" w:cs="Arial"/>
                <w:sz w:val="18"/>
                <w:szCs w:val="18"/>
              </w:rPr>
              <w:t>–</w:t>
            </w:r>
            <w:r w:rsidRPr="00092FC6">
              <w:rPr>
                <w:rFonts w:ascii="Arial" w:hAnsi="Arial" w:cs="Arial"/>
                <w:sz w:val="18"/>
                <w:szCs w:val="18"/>
              </w:rPr>
              <w:t>176</w:t>
            </w:r>
          </w:p>
        </w:tc>
        <w:tc>
          <w:tcPr>
            <w:tcW w:w="1037" w:type="dxa"/>
            <w:vAlign w:val="center"/>
          </w:tcPr>
          <w:p w14:paraId="071499BD" w14:textId="76FC830E"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156</w:t>
            </w:r>
          </w:p>
        </w:tc>
        <w:tc>
          <w:tcPr>
            <w:tcW w:w="4066" w:type="dxa"/>
            <w:vAlign w:val="center"/>
          </w:tcPr>
          <w:p w14:paraId="3C5A8EEC" w14:textId="6760B4B3"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F: ATG</w:t>
            </w:r>
            <w:r w:rsidR="005D7229" w:rsidRPr="00092FC6">
              <w:rPr>
                <w:rFonts w:ascii="Arial" w:hAnsi="Arial" w:cs="Arial"/>
                <w:sz w:val="18"/>
                <w:szCs w:val="18"/>
              </w:rPr>
              <w:t>-</w:t>
            </w:r>
            <w:r w:rsidRPr="00092FC6">
              <w:rPr>
                <w:rFonts w:ascii="Arial" w:hAnsi="Arial" w:cs="Arial"/>
                <w:sz w:val="18"/>
                <w:szCs w:val="18"/>
              </w:rPr>
              <w:t>GAG</w:t>
            </w:r>
            <w:r w:rsidR="005D7229" w:rsidRPr="00092FC6">
              <w:rPr>
                <w:rFonts w:ascii="Arial" w:hAnsi="Arial" w:cs="Arial"/>
                <w:sz w:val="18"/>
                <w:szCs w:val="18"/>
              </w:rPr>
              <w:t>-</w:t>
            </w:r>
            <w:r w:rsidRPr="00092FC6">
              <w:rPr>
                <w:rFonts w:ascii="Arial" w:hAnsi="Arial" w:cs="Arial"/>
                <w:sz w:val="18"/>
                <w:szCs w:val="18"/>
              </w:rPr>
              <w:t>AAR</w:t>
            </w:r>
            <w:r w:rsidR="005D7229" w:rsidRPr="00092FC6">
              <w:rPr>
                <w:rFonts w:ascii="Arial" w:hAnsi="Arial" w:cs="Arial"/>
                <w:sz w:val="18"/>
                <w:szCs w:val="18"/>
              </w:rPr>
              <w:t>-</w:t>
            </w:r>
            <w:r w:rsidRPr="00092FC6">
              <w:rPr>
                <w:rFonts w:ascii="Arial" w:hAnsi="Arial" w:cs="Arial"/>
                <w:sz w:val="18"/>
                <w:szCs w:val="18"/>
              </w:rPr>
              <w:t>GTT</w:t>
            </w:r>
            <w:r w:rsidR="005D7229" w:rsidRPr="00092FC6">
              <w:rPr>
                <w:rFonts w:ascii="Arial" w:hAnsi="Arial" w:cs="Arial"/>
                <w:sz w:val="18"/>
                <w:szCs w:val="18"/>
              </w:rPr>
              <w:t>-</w:t>
            </w:r>
            <w:r w:rsidRPr="00092FC6">
              <w:rPr>
                <w:rFonts w:ascii="Arial" w:hAnsi="Arial" w:cs="Arial"/>
                <w:sz w:val="18"/>
                <w:szCs w:val="18"/>
              </w:rPr>
              <w:t>CAC</w:t>
            </w:r>
            <w:r w:rsidR="005D7229" w:rsidRPr="00092FC6">
              <w:rPr>
                <w:rFonts w:ascii="Arial" w:hAnsi="Arial" w:cs="Arial"/>
                <w:sz w:val="18"/>
                <w:szCs w:val="18"/>
              </w:rPr>
              <w:t>-</w:t>
            </w:r>
            <w:r w:rsidRPr="00092FC6">
              <w:rPr>
                <w:rFonts w:ascii="Arial" w:hAnsi="Arial" w:cs="Arial"/>
                <w:sz w:val="18"/>
                <w:szCs w:val="18"/>
              </w:rPr>
              <w:t>GTT</w:t>
            </w:r>
            <w:r w:rsidR="005D7229" w:rsidRPr="00092FC6">
              <w:rPr>
                <w:rFonts w:ascii="Arial" w:hAnsi="Arial" w:cs="Arial"/>
                <w:sz w:val="18"/>
                <w:szCs w:val="18"/>
              </w:rPr>
              <w:t>-</w:t>
            </w:r>
            <w:r w:rsidRPr="00092FC6">
              <w:rPr>
                <w:rFonts w:ascii="Arial" w:hAnsi="Arial" w:cs="Arial"/>
                <w:sz w:val="18"/>
                <w:szCs w:val="18"/>
              </w:rPr>
              <w:t>GAY</w:t>
            </w:r>
            <w:r w:rsidR="005D7229" w:rsidRPr="00092FC6">
              <w:rPr>
                <w:rFonts w:ascii="Arial" w:hAnsi="Arial" w:cs="Arial"/>
                <w:sz w:val="18"/>
                <w:szCs w:val="18"/>
              </w:rPr>
              <w:t>-</w:t>
            </w:r>
            <w:r w:rsidRPr="00092FC6">
              <w:rPr>
                <w:rFonts w:ascii="Arial" w:hAnsi="Arial" w:cs="Arial"/>
                <w:sz w:val="18"/>
                <w:szCs w:val="18"/>
              </w:rPr>
              <w:t>ATC</w:t>
            </w:r>
            <w:r w:rsidR="005D7229" w:rsidRPr="00092FC6">
              <w:rPr>
                <w:rFonts w:ascii="Arial" w:hAnsi="Arial" w:cs="Arial"/>
                <w:sz w:val="18"/>
                <w:szCs w:val="18"/>
              </w:rPr>
              <w:t>-</w:t>
            </w:r>
            <w:r w:rsidRPr="00092FC6">
              <w:rPr>
                <w:rFonts w:ascii="Arial" w:hAnsi="Arial" w:cs="Arial"/>
                <w:sz w:val="18"/>
                <w:szCs w:val="18"/>
              </w:rPr>
              <w:t>G</w:t>
            </w:r>
            <w:r w:rsidR="005D7229" w:rsidRPr="00092FC6">
              <w:rPr>
                <w:rFonts w:ascii="Arial" w:hAnsi="Arial" w:cs="Arial"/>
                <w:sz w:val="18"/>
                <w:szCs w:val="18"/>
              </w:rPr>
              <w:br/>
            </w:r>
            <w:r w:rsidRPr="00092FC6">
              <w:rPr>
                <w:rFonts w:ascii="Arial" w:hAnsi="Arial" w:cs="Arial"/>
                <w:sz w:val="18"/>
                <w:szCs w:val="18"/>
              </w:rPr>
              <w:t>R: YTC</w:t>
            </w:r>
            <w:r w:rsidR="00AE651F" w:rsidRPr="00092FC6">
              <w:rPr>
                <w:rFonts w:ascii="Arial" w:hAnsi="Arial" w:cs="Arial"/>
                <w:sz w:val="18"/>
                <w:szCs w:val="18"/>
              </w:rPr>
              <w:t>-</w:t>
            </w:r>
            <w:r w:rsidRPr="00092FC6">
              <w:rPr>
                <w:rFonts w:ascii="Arial" w:hAnsi="Arial" w:cs="Arial"/>
                <w:sz w:val="18"/>
                <w:szCs w:val="18"/>
              </w:rPr>
              <w:t>GAT</w:t>
            </w:r>
            <w:r w:rsidR="00AE651F" w:rsidRPr="00092FC6">
              <w:rPr>
                <w:rFonts w:ascii="Arial" w:hAnsi="Arial" w:cs="Arial"/>
                <w:sz w:val="18"/>
                <w:szCs w:val="18"/>
              </w:rPr>
              <w:t>-</w:t>
            </w:r>
            <w:r w:rsidRPr="00092FC6">
              <w:rPr>
                <w:rFonts w:ascii="Arial" w:hAnsi="Arial" w:cs="Arial"/>
                <w:sz w:val="18"/>
                <w:szCs w:val="18"/>
              </w:rPr>
              <w:t>YAR</w:t>
            </w:r>
            <w:r w:rsidR="00AE651F" w:rsidRPr="00092FC6">
              <w:rPr>
                <w:rFonts w:ascii="Arial" w:hAnsi="Arial" w:cs="Arial"/>
                <w:sz w:val="18"/>
                <w:szCs w:val="18"/>
              </w:rPr>
              <w:t>-</w:t>
            </w:r>
            <w:r w:rsidRPr="00092FC6">
              <w:rPr>
                <w:rFonts w:ascii="Arial" w:hAnsi="Arial" w:cs="Arial"/>
                <w:sz w:val="18"/>
                <w:szCs w:val="18"/>
              </w:rPr>
              <w:t>YTT</w:t>
            </w:r>
            <w:r w:rsidR="00AE651F" w:rsidRPr="00092FC6">
              <w:rPr>
                <w:rFonts w:ascii="Arial" w:hAnsi="Arial" w:cs="Arial"/>
                <w:sz w:val="18"/>
                <w:szCs w:val="18"/>
              </w:rPr>
              <w:t>-</w:t>
            </w:r>
            <w:r w:rsidRPr="00092FC6">
              <w:rPr>
                <w:rFonts w:ascii="Arial" w:hAnsi="Arial" w:cs="Arial"/>
                <w:sz w:val="18"/>
                <w:szCs w:val="18"/>
              </w:rPr>
              <w:t>NGA</w:t>
            </w:r>
            <w:r w:rsidR="00AE651F" w:rsidRPr="00092FC6">
              <w:rPr>
                <w:rFonts w:ascii="Arial" w:hAnsi="Arial" w:cs="Arial"/>
                <w:sz w:val="18"/>
                <w:szCs w:val="18"/>
              </w:rPr>
              <w:t>-</w:t>
            </w:r>
            <w:r w:rsidRPr="00092FC6">
              <w:rPr>
                <w:rFonts w:ascii="Arial" w:hAnsi="Arial" w:cs="Arial"/>
                <w:sz w:val="18"/>
                <w:szCs w:val="18"/>
              </w:rPr>
              <w:t>NGC</w:t>
            </w:r>
            <w:r w:rsidR="00AE651F" w:rsidRPr="00092FC6">
              <w:rPr>
                <w:rFonts w:ascii="Arial" w:hAnsi="Arial" w:cs="Arial"/>
                <w:sz w:val="18"/>
                <w:szCs w:val="18"/>
              </w:rPr>
              <w:t>-</w:t>
            </w:r>
            <w:r w:rsidRPr="00092FC6">
              <w:rPr>
                <w:rFonts w:ascii="Arial" w:hAnsi="Arial" w:cs="Arial"/>
                <w:sz w:val="18"/>
                <w:szCs w:val="18"/>
              </w:rPr>
              <w:t>YAR</w:t>
            </w:r>
            <w:r w:rsidR="00AE651F" w:rsidRPr="00092FC6">
              <w:rPr>
                <w:rFonts w:ascii="Arial" w:hAnsi="Arial" w:cs="Arial"/>
                <w:sz w:val="18"/>
                <w:szCs w:val="18"/>
              </w:rPr>
              <w:t>-</w:t>
            </w:r>
            <w:r w:rsidRPr="00092FC6">
              <w:rPr>
                <w:rFonts w:ascii="Arial" w:hAnsi="Arial" w:cs="Arial"/>
                <w:sz w:val="18"/>
                <w:szCs w:val="18"/>
              </w:rPr>
              <w:t>ATG</w:t>
            </w:r>
            <w:r w:rsidR="00AE651F" w:rsidRPr="00092FC6">
              <w:rPr>
                <w:rFonts w:ascii="Arial" w:hAnsi="Arial" w:cs="Arial"/>
                <w:sz w:val="18"/>
                <w:szCs w:val="18"/>
              </w:rPr>
              <w:t>-</w:t>
            </w:r>
            <w:r w:rsidRPr="00092FC6">
              <w:rPr>
                <w:rFonts w:ascii="Arial" w:hAnsi="Arial" w:cs="Arial"/>
                <w:sz w:val="18"/>
                <w:szCs w:val="18"/>
              </w:rPr>
              <w:t>C</w:t>
            </w:r>
          </w:p>
        </w:tc>
        <w:tc>
          <w:tcPr>
            <w:tcW w:w="1156" w:type="dxa"/>
          </w:tcPr>
          <w:p w14:paraId="4752DDED" w14:textId="4CF08986"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 xml:space="preserve">Pisano </w:t>
            </w:r>
            <w:r w:rsidR="00AE651F" w:rsidRPr="00092FC6">
              <w:rPr>
                <w:rFonts w:ascii="Arial" w:hAnsi="Arial" w:cs="Arial"/>
                <w:sz w:val="18"/>
                <w:szCs w:val="18"/>
              </w:rPr>
              <w:br/>
            </w:r>
            <w:r w:rsidRPr="00092FC6">
              <w:rPr>
                <w:rFonts w:ascii="Arial" w:hAnsi="Arial" w:cs="Arial"/>
                <w:i/>
                <w:sz w:val="18"/>
                <w:szCs w:val="18"/>
              </w:rPr>
              <w:t>et al.</w:t>
            </w:r>
            <w:r w:rsidRPr="00092FC6">
              <w:rPr>
                <w:rFonts w:ascii="Arial" w:hAnsi="Arial" w:cs="Arial"/>
                <w:sz w:val="18"/>
                <w:szCs w:val="18"/>
              </w:rPr>
              <w:t>, 2012</w:t>
            </w:r>
          </w:p>
        </w:tc>
      </w:tr>
      <w:tr w:rsidR="00470354" w:rsidRPr="00092FC6" w14:paraId="0ED07479" w14:textId="5118AE6E" w:rsidTr="00AE651F">
        <w:tc>
          <w:tcPr>
            <w:tcW w:w="1142" w:type="dxa"/>
            <w:vAlign w:val="center"/>
          </w:tcPr>
          <w:p w14:paraId="7B5E479D" w14:textId="71C2B332"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VEE all</w:t>
            </w:r>
            <w:r w:rsidR="005D7229" w:rsidRPr="00092FC6">
              <w:rPr>
                <w:rFonts w:ascii="Arial" w:hAnsi="Arial" w:cs="Arial"/>
                <w:sz w:val="18"/>
                <w:szCs w:val="18"/>
              </w:rPr>
              <w:br/>
            </w:r>
            <w:r w:rsidRPr="00092FC6">
              <w:rPr>
                <w:rFonts w:ascii="Arial" w:hAnsi="Arial" w:cs="Arial"/>
                <w:sz w:val="18"/>
                <w:szCs w:val="18"/>
              </w:rPr>
              <w:t>(nested)</w:t>
            </w:r>
          </w:p>
        </w:tc>
        <w:tc>
          <w:tcPr>
            <w:tcW w:w="1300" w:type="dxa"/>
            <w:vAlign w:val="center"/>
          </w:tcPr>
          <w:p w14:paraId="6AEE3CBB" w14:textId="037A836E"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83</w:t>
            </w:r>
            <w:r w:rsidR="005D7229" w:rsidRPr="00092FC6">
              <w:rPr>
                <w:rFonts w:ascii="Arial" w:hAnsi="Arial" w:cs="Arial"/>
                <w:sz w:val="18"/>
                <w:szCs w:val="18"/>
              </w:rPr>
              <w:t>–</w:t>
            </w:r>
            <w:r w:rsidRPr="00092FC6">
              <w:rPr>
                <w:rFonts w:ascii="Arial" w:hAnsi="Arial" w:cs="Arial"/>
                <w:sz w:val="18"/>
                <w:szCs w:val="18"/>
              </w:rPr>
              <w:t>163</w:t>
            </w:r>
          </w:p>
        </w:tc>
        <w:tc>
          <w:tcPr>
            <w:tcW w:w="1037" w:type="dxa"/>
            <w:vAlign w:val="center"/>
          </w:tcPr>
          <w:p w14:paraId="509CC4F3" w14:textId="1C986E8F"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sz w:val="18"/>
                <w:szCs w:val="18"/>
              </w:rPr>
            </w:pPr>
            <w:r w:rsidRPr="00092FC6">
              <w:rPr>
                <w:rFonts w:ascii="Arial" w:hAnsi="Arial" w:cs="Arial"/>
                <w:sz w:val="18"/>
                <w:szCs w:val="18"/>
              </w:rPr>
              <w:t>80</w:t>
            </w:r>
          </w:p>
        </w:tc>
        <w:tc>
          <w:tcPr>
            <w:tcW w:w="4066" w:type="dxa"/>
            <w:vAlign w:val="center"/>
          </w:tcPr>
          <w:p w14:paraId="293C713A" w14:textId="209F8682"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F: ARG</w:t>
            </w:r>
            <w:r w:rsidR="00AE651F" w:rsidRPr="00092FC6">
              <w:rPr>
                <w:rFonts w:ascii="Arial" w:hAnsi="Arial" w:cs="Arial"/>
                <w:sz w:val="18"/>
                <w:szCs w:val="18"/>
              </w:rPr>
              <w:t>-</w:t>
            </w:r>
            <w:r w:rsidRPr="00092FC6">
              <w:rPr>
                <w:rFonts w:ascii="Arial" w:hAnsi="Arial" w:cs="Arial"/>
                <w:sz w:val="18"/>
                <w:szCs w:val="18"/>
              </w:rPr>
              <w:t>AYA</w:t>
            </w:r>
            <w:r w:rsidR="00AE651F" w:rsidRPr="00092FC6">
              <w:rPr>
                <w:rFonts w:ascii="Arial" w:hAnsi="Arial" w:cs="Arial"/>
                <w:sz w:val="18"/>
                <w:szCs w:val="18"/>
              </w:rPr>
              <w:t>-</w:t>
            </w:r>
            <w:r w:rsidRPr="00092FC6">
              <w:rPr>
                <w:rFonts w:ascii="Arial" w:hAnsi="Arial" w:cs="Arial"/>
                <w:sz w:val="18"/>
                <w:szCs w:val="18"/>
              </w:rPr>
              <w:t>GYC</w:t>
            </w:r>
            <w:r w:rsidR="00AE651F" w:rsidRPr="00092FC6">
              <w:rPr>
                <w:rFonts w:ascii="Arial" w:hAnsi="Arial" w:cs="Arial"/>
                <w:sz w:val="18"/>
                <w:szCs w:val="18"/>
              </w:rPr>
              <w:t>-</w:t>
            </w:r>
            <w:r w:rsidRPr="00092FC6">
              <w:rPr>
                <w:rFonts w:ascii="Arial" w:hAnsi="Arial" w:cs="Arial"/>
                <w:sz w:val="18"/>
                <w:szCs w:val="18"/>
              </w:rPr>
              <w:t>CNT</w:t>
            </w:r>
            <w:r w:rsidR="00AE651F" w:rsidRPr="00092FC6">
              <w:rPr>
                <w:rFonts w:ascii="Arial" w:hAnsi="Arial" w:cs="Arial"/>
                <w:sz w:val="18"/>
                <w:szCs w:val="18"/>
              </w:rPr>
              <w:t>-</w:t>
            </w:r>
            <w:r w:rsidRPr="00092FC6">
              <w:rPr>
                <w:rFonts w:ascii="Arial" w:hAnsi="Arial" w:cs="Arial"/>
                <w:sz w:val="18"/>
                <w:szCs w:val="18"/>
              </w:rPr>
              <w:t>TCC</w:t>
            </w:r>
            <w:r w:rsidR="00AE651F" w:rsidRPr="00092FC6">
              <w:rPr>
                <w:rFonts w:ascii="Arial" w:hAnsi="Arial" w:cs="Arial"/>
                <w:sz w:val="18"/>
                <w:szCs w:val="18"/>
              </w:rPr>
              <w:t>-</w:t>
            </w:r>
            <w:r w:rsidRPr="00092FC6">
              <w:rPr>
                <w:rFonts w:ascii="Arial" w:hAnsi="Arial" w:cs="Arial"/>
                <w:sz w:val="18"/>
                <w:szCs w:val="18"/>
              </w:rPr>
              <w:t>TYM</w:t>
            </w:r>
            <w:r w:rsidR="00AE651F" w:rsidRPr="00092FC6">
              <w:rPr>
                <w:rFonts w:ascii="Arial" w:hAnsi="Arial" w:cs="Arial"/>
                <w:sz w:val="18"/>
                <w:szCs w:val="18"/>
              </w:rPr>
              <w:t>-</w:t>
            </w:r>
            <w:r w:rsidRPr="00092FC6">
              <w:rPr>
                <w:rFonts w:ascii="Arial" w:hAnsi="Arial" w:cs="Arial"/>
                <w:sz w:val="18"/>
                <w:szCs w:val="18"/>
              </w:rPr>
              <w:t>GAG</w:t>
            </w:r>
            <w:r w:rsidR="00AE651F" w:rsidRPr="00092FC6">
              <w:rPr>
                <w:rFonts w:ascii="Arial" w:hAnsi="Arial" w:cs="Arial"/>
                <w:sz w:val="18"/>
                <w:szCs w:val="18"/>
              </w:rPr>
              <w:t>-</w:t>
            </w:r>
            <w:r w:rsidRPr="00092FC6">
              <w:rPr>
                <w:rFonts w:ascii="Arial" w:hAnsi="Arial" w:cs="Arial"/>
                <w:sz w:val="18"/>
                <w:szCs w:val="18"/>
              </w:rPr>
              <w:t>C</w:t>
            </w:r>
            <w:r w:rsidR="005D7229" w:rsidRPr="00092FC6">
              <w:rPr>
                <w:rFonts w:ascii="Arial" w:hAnsi="Arial" w:cs="Arial"/>
                <w:sz w:val="18"/>
                <w:szCs w:val="18"/>
              </w:rPr>
              <w:br/>
            </w:r>
            <w:r w:rsidRPr="00092FC6">
              <w:rPr>
                <w:rFonts w:ascii="Arial" w:hAnsi="Arial" w:cs="Arial"/>
                <w:sz w:val="18"/>
                <w:szCs w:val="18"/>
              </w:rPr>
              <w:t>R: CRT</w:t>
            </w:r>
            <w:r w:rsidR="00AE651F" w:rsidRPr="00092FC6">
              <w:rPr>
                <w:rFonts w:ascii="Arial" w:hAnsi="Arial" w:cs="Arial"/>
                <w:sz w:val="18"/>
                <w:szCs w:val="18"/>
              </w:rPr>
              <w:t>-</w:t>
            </w:r>
            <w:r w:rsidRPr="00092FC6">
              <w:rPr>
                <w:rFonts w:ascii="Arial" w:hAnsi="Arial" w:cs="Arial"/>
                <w:sz w:val="18"/>
                <w:szCs w:val="18"/>
              </w:rPr>
              <w:t>TAG</w:t>
            </w:r>
            <w:r w:rsidR="00AE651F" w:rsidRPr="00092FC6">
              <w:rPr>
                <w:rFonts w:ascii="Arial" w:hAnsi="Arial" w:cs="Arial"/>
                <w:sz w:val="18"/>
                <w:szCs w:val="18"/>
              </w:rPr>
              <w:t>-</w:t>
            </w:r>
            <w:r w:rsidRPr="00092FC6">
              <w:rPr>
                <w:rFonts w:ascii="Arial" w:hAnsi="Arial" w:cs="Arial"/>
                <w:sz w:val="18"/>
                <w:szCs w:val="18"/>
              </w:rPr>
              <w:t>CAT</w:t>
            </w:r>
            <w:r w:rsidR="00AE651F" w:rsidRPr="00092FC6">
              <w:rPr>
                <w:rFonts w:ascii="Arial" w:hAnsi="Arial" w:cs="Arial"/>
                <w:sz w:val="18"/>
                <w:szCs w:val="18"/>
              </w:rPr>
              <w:t>-</w:t>
            </w:r>
            <w:r w:rsidRPr="00092FC6">
              <w:rPr>
                <w:rFonts w:ascii="Arial" w:hAnsi="Arial" w:cs="Arial"/>
                <w:sz w:val="18"/>
                <w:szCs w:val="18"/>
              </w:rPr>
              <w:t>GGT</w:t>
            </w:r>
            <w:r w:rsidR="00AE651F" w:rsidRPr="00092FC6">
              <w:rPr>
                <w:rFonts w:ascii="Arial" w:hAnsi="Arial" w:cs="Arial"/>
                <w:sz w:val="18"/>
                <w:szCs w:val="18"/>
              </w:rPr>
              <w:t>-</w:t>
            </w:r>
            <w:r w:rsidRPr="00092FC6">
              <w:rPr>
                <w:rFonts w:ascii="Arial" w:hAnsi="Arial" w:cs="Arial"/>
                <w:sz w:val="18"/>
                <w:szCs w:val="18"/>
              </w:rPr>
              <w:t>CRT</w:t>
            </w:r>
            <w:r w:rsidR="00AE651F" w:rsidRPr="00092FC6">
              <w:rPr>
                <w:rFonts w:ascii="Arial" w:hAnsi="Arial" w:cs="Arial"/>
                <w:sz w:val="18"/>
                <w:szCs w:val="18"/>
              </w:rPr>
              <w:t>-</w:t>
            </w:r>
            <w:r w:rsidRPr="00092FC6">
              <w:rPr>
                <w:rFonts w:ascii="Arial" w:hAnsi="Arial" w:cs="Arial"/>
                <w:sz w:val="18"/>
                <w:szCs w:val="18"/>
              </w:rPr>
              <w:t>TRT</w:t>
            </w:r>
            <w:r w:rsidR="00AE651F" w:rsidRPr="00092FC6">
              <w:rPr>
                <w:rFonts w:ascii="Arial" w:hAnsi="Arial" w:cs="Arial"/>
                <w:sz w:val="18"/>
                <w:szCs w:val="18"/>
              </w:rPr>
              <w:t>-</w:t>
            </w:r>
            <w:r w:rsidRPr="00092FC6">
              <w:rPr>
                <w:rFonts w:ascii="Arial" w:hAnsi="Arial" w:cs="Arial"/>
                <w:sz w:val="18"/>
                <w:szCs w:val="18"/>
              </w:rPr>
              <w:t>CNG</w:t>
            </w:r>
            <w:r w:rsidR="00AE651F" w:rsidRPr="00092FC6">
              <w:rPr>
                <w:rFonts w:ascii="Arial" w:hAnsi="Arial" w:cs="Arial"/>
                <w:sz w:val="18"/>
                <w:szCs w:val="18"/>
              </w:rPr>
              <w:t>-</w:t>
            </w:r>
            <w:r w:rsidRPr="00092FC6">
              <w:rPr>
                <w:rFonts w:ascii="Arial" w:hAnsi="Arial" w:cs="Arial"/>
                <w:sz w:val="18"/>
                <w:szCs w:val="18"/>
              </w:rPr>
              <w:t>TNA</w:t>
            </w:r>
            <w:r w:rsidR="00AE651F" w:rsidRPr="00092FC6">
              <w:rPr>
                <w:rFonts w:ascii="Arial" w:hAnsi="Arial" w:cs="Arial"/>
                <w:sz w:val="18"/>
                <w:szCs w:val="18"/>
              </w:rPr>
              <w:t>-</w:t>
            </w:r>
            <w:r w:rsidRPr="00092FC6">
              <w:rPr>
                <w:rFonts w:ascii="Arial" w:hAnsi="Arial" w:cs="Arial"/>
                <w:sz w:val="18"/>
                <w:szCs w:val="18"/>
              </w:rPr>
              <w:t>C</w:t>
            </w:r>
          </w:p>
        </w:tc>
        <w:tc>
          <w:tcPr>
            <w:tcW w:w="1156" w:type="dxa"/>
          </w:tcPr>
          <w:p w14:paraId="3AE889ED" w14:textId="11EC9EA4" w:rsidR="00306987" w:rsidRPr="00092FC6" w:rsidRDefault="00306987" w:rsidP="00306987">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rFonts w:ascii="Arial" w:hAnsi="Arial" w:cs="Arial"/>
                <w:sz w:val="18"/>
                <w:szCs w:val="18"/>
              </w:rPr>
            </w:pPr>
            <w:r w:rsidRPr="00092FC6">
              <w:rPr>
                <w:rFonts w:ascii="Arial" w:hAnsi="Arial" w:cs="Arial"/>
                <w:sz w:val="18"/>
                <w:szCs w:val="18"/>
              </w:rPr>
              <w:t xml:space="preserve">Pisano </w:t>
            </w:r>
            <w:r w:rsidR="00AE651F" w:rsidRPr="00092FC6">
              <w:rPr>
                <w:rFonts w:ascii="Arial" w:hAnsi="Arial" w:cs="Arial"/>
                <w:sz w:val="18"/>
                <w:szCs w:val="18"/>
              </w:rPr>
              <w:br/>
            </w:r>
            <w:r w:rsidRPr="00092FC6">
              <w:rPr>
                <w:rFonts w:ascii="Arial" w:hAnsi="Arial" w:cs="Arial"/>
                <w:i/>
                <w:sz w:val="18"/>
                <w:szCs w:val="18"/>
              </w:rPr>
              <w:t>et al.</w:t>
            </w:r>
            <w:r w:rsidRPr="00092FC6">
              <w:rPr>
                <w:rFonts w:ascii="Arial" w:hAnsi="Arial" w:cs="Arial"/>
                <w:sz w:val="18"/>
                <w:szCs w:val="18"/>
              </w:rPr>
              <w:t>, 2012</w:t>
            </w:r>
          </w:p>
        </w:tc>
      </w:tr>
    </w:tbl>
    <w:p w14:paraId="6BB3E93B" w14:textId="4D3A8776" w:rsidR="003F170C" w:rsidRPr="00092FC6" w:rsidRDefault="002D5A69" w:rsidP="00785FD6">
      <w:pPr>
        <w:pStyle w:val="para1"/>
        <w:spacing w:before="120"/>
        <w:jc w:val="center"/>
        <w:rPr>
          <w:spacing w:val="-2"/>
          <w:sz w:val="16"/>
          <w:szCs w:val="16"/>
        </w:rPr>
      </w:pPr>
      <w:r w:rsidRPr="00092FC6">
        <w:rPr>
          <w:spacing w:val="-2"/>
          <w:sz w:val="16"/>
          <w:szCs w:val="16"/>
        </w:rPr>
        <w:t>F</w:t>
      </w:r>
      <w:r w:rsidR="005D7229" w:rsidRPr="00092FC6">
        <w:rPr>
          <w:spacing w:val="-2"/>
          <w:sz w:val="16"/>
          <w:szCs w:val="16"/>
        </w:rPr>
        <w:t xml:space="preserve">: </w:t>
      </w:r>
      <w:r w:rsidRPr="00092FC6">
        <w:rPr>
          <w:spacing w:val="-2"/>
          <w:sz w:val="16"/>
          <w:szCs w:val="16"/>
        </w:rPr>
        <w:t>forward; R</w:t>
      </w:r>
      <w:r w:rsidR="005D7229" w:rsidRPr="00092FC6">
        <w:rPr>
          <w:spacing w:val="-2"/>
          <w:sz w:val="16"/>
          <w:szCs w:val="16"/>
        </w:rPr>
        <w:t xml:space="preserve">: </w:t>
      </w:r>
      <w:r w:rsidRPr="00092FC6">
        <w:rPr>
          <w:spacing w:val="-2"/>
          <w:sz w:val="16"/>
          <w:szCs w:val="16"/>
        </w:rPr>
        <w:t>reverse.</w:t>
      </w:r>
    </w:p>
    <w:p w14:paraId="55D1F493" w14:textId="4F40405A" w:rsidR="00306987" w:rsidRPr="00092FC6" w:rsidRDefault="00785FD6" w:rsidP="007932E8">
      <w:pPr>
        <w:pStyle w:val="111Para"/>
      </w:pPr>
      <w:r w:rsidRPr="00092FC6">
        <w:t xml:space="preserve">A </w:t>
      </w:r>
      <w:r w:rsidR="00306987" w:rsidRPr="00092FC6">
        <w:t xml:space="preserve">multiplexed detection of EEE and WEE </w:t>
      </w:r>
      <w:r w:rsidR="008A1A3B" w:rsidRPr="00092FC6">
        <w:t xml:space="preserve">viral RNA </w:t>
      </w:r>
      <w:r w:rsidR="00306987" w:rsidRPr="00092FC6">
        <w:t xml:space="preserve">via real-time RT-PCR </w:t>
      </w:r>
      <w:r w:rsidRPr="00092FC6">
        <w:t>has been</w:t>
      </w:r>
      <w:r w:rsidR="00306987" w:rsidRPr="00092FC6">
        <w:t xml:space="preserve"> reported (Kang </w:t>
      </w:r>
      <w:r w:rsidR="00306987" w:rsidRPr="00092FC6">
        <w:rPr>
          <w:i/>
        </w:rPr>
        <w:t>et al.,</w:t>
      </w:r>
      <w:r w:rsidRPr="00092FC6">
        <w:t xml:space="preserve"> 2010), but</w:t>
      </w:r>
      <w:r w:rsidR="00306987" w:rsidRPr="00092FC6">
        <w:t xml:space="preserve"> the method </w:t>
      </w:r>
      <w:r w:rsidRPr="00092FC6">
        <w:t>has</w:t>
      </w:r>
      <w:r w:rsidR="00306987" w:rsidRPr="00092FC6">
        <w:t xml:space="preserve"> not</w:t>
      </w:r>
      <w:r w:rsidRPr="00092FC6">
        <w:t xml:space="preserve"> been</w:t>
      </w:r>
      <w:r w:rsidR="00306987" w:rsidRPr="00092FC6">
        <w:t xml:space="preserve"> </w:t>
      </w:r>
      <w:r w:rsidR="00B04614" w:rsidRPr="00B04614">
        <w:rPr>
          <w:u w:val="double"/>
        </w:rPr>
        <w:t>extensively</w:t>
      </w:r>
      <w:r w:rsidR="00B04614" w:rsidRPr="00092FC6">
        <w:t xml:space="preserve"> </w:t>
      </w:r>
      <w:r w:rsidR="00306987" w:rsidRPr="00092FC6">
        <w:t xml:space="preserve">evaluated </w:t>
      </w:r>
      <w:r w:rsidR="00306987" w:rsidRPr="00B04614">
        <w:rPr>
          <w:strike/>
        </w:rPr>
        <w:t>extensively</w:t>
      </w:r>
      <w:r w:rsidR="00306987" w:rsidRPr="007F14E4">
        <w:rPr>
          <w:strike/>
        </w:rPr>
        <w:t xml:space="preserve"> </w:t>
      </w:r>
      <w:r w:rsidR="00306987" w:rsidRPr="00092FC6">
        <w:t xml:space="preserve">in field samples. A combination of </w:t>
      </w:r>
      <w:r w:rsidR="00306987" w:rsidRPr="00286FF7">
        <w:t xml:space="preserve">an </w:t>
      </w:r>
      <w:r w:rsidR="00306987" w:rsidRPr="00092FC6">
        <w:t xml:space="preserve">RT-PCR with an enzyme-linked immunosorbent assay (ELISA: RT-PCR-ELISA) was reported as a method to identify alphaviruses that are pathogenic to humans (Wang </w:t>
      </w:r>
      <w:r w:rsidR="00306987" w:rsidRPr="00092FC6">
        <w:rPr>
          <w:i/>
        </w:rPr>
        <w:t>et al</w:t>
      </w:r>
      <w:r w:rsidR="00306987" w:rsidRPr="00092FC6">
        <w:t>., 2006).</w:t>
      </w:r>
    </w:p>
    <w:p w14:paraId="521F0A4C" w14:textId="4F74B06D" w:rsidR="00BE0F1D" w:rsidRPr="00092FC6" w:rsidRDefault="00BE0F1D" w:rsidP="00BE0F1D">
      <w:pPr>
        <w:pStyle w:val="111"/>
        <w:rPr>
          <w:spacing w:val="-2"/>
        </w:rPr>
      </w:pPr>
      <w:r w:rsidRPr="00092FC6">
        <w:rPr>
          <w:lang w:val="en-IE"/>
        </w:rPr>
        <w:t>1.2.2.</w:t>
      </w:r>
      <w:r w:rsidRPr="00092FC6">
        <w:rPr>
          <w:lang w:val="en-IE"/>
        </w:rPr>
        <w:tab/>
        <w:t>Real-time reverse-transcription PCR</w:t>
      </w:r>
    </w:p>
    <w:p w14:paraId="4C18B95D" w14:textId="2F45A96E" w:rsidR="00720D6F" w:rsidRPr="00092FC6" w:rsidRDefault="00720D6F" w:rsidP="00BE0F1D">
      <w:pPr>
        <w:pStyle w:val="111Para"/>
        <w:rPr>
          <w:lang w:val="en-US"/>
        </w:rPr>
      </w:pPr>
      <w:r w:rsidRPr="00092FC6">
        <w:t>A sensitive real-time RT-PCR for detection of North American variants of EEE and WEE</w:t>
      </w:r>
      <w:r w:rsidR="00B916DD" w:rsidRPr="00092FC6">
        <w:t xml:space="preserve"> viral RNA</w:t>
      </w:r>
      <w:r w:rsidRPr="00092FC6">
        <w:t xml:space="preserve"> </w:t>
      </w:r>
      <w:r w:rsidR="00785FD6" w:rsidRPr="00092FC6">
        <w:t>has been</w:t>
      </w:r>
      <w:r w:rsidRPr="00092FC6">
        <w:t xml:space="preserve"> developed and validated on a limited panel of field samples</w:t>
      </w:r>
      <w:r w:rsidR="00785FD6" w:rsidRPr="00092FC6">
        <w:t>; it</w:t>
      </w:r>
      <w:r w:rsidRPr="00092FC6">
        <w:t xml:space="preserve"> demonstrated a superior sensitivity compared </w:t>
      </w:r>
      <w:r w:rsidR="00785FD6" w:rsidRPr="00092FC6">
        <w:t>with</w:t>
      </w:r>
      <w:r w:rsidRPr="00092FC6">
        <w:t xml:space="preserve"> virus isolation in Vero cell culture (Lambert </w:t>
      </w:r>
      <w:r w:rsidR="00627D1D" w:rsidRPr="00092FC6">
        <w:rPr>
          <w:i/>
        </w:rPr>
        <w:t>et al</w:t>
      </w:r>
      <w:r w:rsidRPr="00092FC6">
        <w:t xml:space="preserve">., 2003). </w:t>
      </w:r>
      <w:r w:rsidR="00785FD6" w:rsidRPr="00092FC6">
        <w:t>T</w:t>
      </w:r>
      <w:r w:rsidRPr="00092FC6">
        <w:t>he primers and probes (Table 3) were evaluated with a number of synthetic RNA constructs that incorporated various substitutions present in North American EEE and WEE</w:t>
      </w:r>
      <w:r w:rsidR="00D54612" w:rsidRPr="00092FC6">
        <w:t xml:space="preserve"> viral</w:t>
      </w:r>
      <w:r w:rsidRPr="00092FC6">
        <w:t xml:space="preserve"> variants (Vina-Rodriguez </w:t>
      </w:r>
      <w:r w:rsidRPr="00092FC6">
        <w:rPr>
          <w:i/>
        </w:rPr>
        <w:t>et al.,</w:t>
      </w:r>
      <w:r w:rsidRPr="00092FC6">
        <w:t xml:space="preserve"> 2016). This confirmed </w:t>
      </w:r>
      <w:r w:rsidR="00785FD6" w:rsidRPr="00092FC6">
        <w:t xml:space="preserve">the </w:t>
      </w:r>
      <w:r w:rsidRPr="00092FC6">
        <w:t xml:space="preserve">high sensitivity and specificity of the reagents developed by Lambert </w:t>
      </w:r>
      <w:r w:rsidRPr="00092FC6">
        <w:rPr>
          <w:i/>
        </w:rPr>
        <w:t>et al.</w:t>
      </w:r>
      <w:r w:rsidRPr="00092FC6">
        <w:t xml:space="preserve"> (2003). The real-time RT-PCR starts with reverse transcription at 46</w:t>
      </w:r>
      <w:r w:rsidR="008F3AFD" w:rsidRPr="00092FC6">
        <w:t>–</w:t>
      </w:r>
      <w:r w:rsidRPr="00092FC6">
        <w:t>50</w:t>
      </w:r>
      <w:r w:rsidR="005D7229" w:rsidRPr="00092FC6">
        <w:t xml:space="preserve">°C </w:t>
      </w:r>
      <w:r w:rsidRPr="00092FC6">
        <w:t xml:space="preserve">(depending on the enzyme used) </w:t>
      </w:r>
      <w:r w:rsidR="00785FD6" w:rsidRPr="00092FC6">
        <w:t>for</w:t>
      </w:r>
      <w:r w:rsidRPr="00092FC6">
        <w:t xml:space="preserve"> 30 </w:t>
      </w:r>
      <w:r w:rsidR="008F3AFD" w:rsidRPr="00092FC6">
        <w:t xml:space="preserve">minutes </w:t>
      </w:r>
      <w:r w:rsidRPr="00092FC6">
        <w:t xml:space="preserve">followed by </w:t>
      </w:r>
      <w:r w:rsidRPr="00092FC6">
        <w:rPr>
          <w:i/>
        </w:rPr>
        <w:t>Taq</w:t>
      </w:r>
      <w:r w:rsidRPr="00092FC6">
        <w:t>-polymerase activation at 95</w:t>
      </w:r>
      <w:r w:rsidR="008F3AFD" w:rsidRPr="00092FC6">
        <w:t>°</w:t>
      </w:r>
      <w:r w:rsidRPr="00092FC6">
        <w:rPr>
          <w:lang w:val="ru-RU"/>
        </w:rPr>
        <w:t>С</w:t>
      </w:r>
      <w:r w:rsidRPr="00092FC6">
        <w:rPr>
          <w:lang w:val="en-US"/>
        </w:rPr>
        <w:t xml:space="preserve"> </w:t>
      </w:r>
      <w:r w:rsidR="00785FD6" w:rsidRPr="00092FC6">
        <w:rPr>
          <w:lang w:val="en-US"/>
        </w:rPr>
        <w:t>for</w:t>
      </w:r>
      <w:r w:rsidRPr="00092FC6">
        <w:rPr>
          <w:lang w:val="en-US"/>
        </w:rPr>
        <w:t xml:space="preserve"> 15 </w:t>
      </w:r>
      <w:r w:rsidR="008F3AFD" w:rsidRPr="00092FC6">
        <w:t>minutes</w:t>
      </w:r>
      <w:r w:rsidRPr="00092FC6">
        <w:rPr>
          <w:lang w:val="en-US"/>
        </w:rPr>
        <w:t xml:space="preserve">. </w:t>
      </w:r>
      <w:r w:rsidR="00132E01" w:rsidRPr="00092FC6">
        <w:rPr>
          <w:lang w:val="en-US"/>
        </w:rPr>
        <w:t>Then,</w:t>
      </w:r>
      <w:r w:rsidRPr="00092FC6">
        <w:rPr>
          <w:lang w:val="en-US"/>
        </w:rPr>
        <w:t xml:space="preserve"> 45 cycles </w:t>
      </w:r>
      <w:r w:rsidR="002D5A69" w:rsidRPr="00092FC6">
        <w:rPr>
          <w:lang w:val="en-US"/>
        </w:rPr>
        <w:t xml:space="preserve">consisting </w:t>
      </w:r>
      <w:r w:rsidRPr="00092FC6">
        <w:rPr>
          <w:lang w:val="en-US"/>
        </w:rPr>
        <w:t>of denaturation at 95</w:t>
      </w:r>
      <w:r w:rsidR="005D7229" w:rsidRPr="00092FC6">
        <w:rPr>
          <w:lang w:val="en-US"/>
        </w:rPr>
        <w:t xml:space="preserve">°C </w:t>
      </w:r>
      <w:r w:rsidR="002D5A69" w:rsidRPr="00092FC6">
        <w:rPr>
          <w:lang w:val="en-US"/>
        </w:rPr>
        <w:t>for</w:t>
      </w:r>
      <w:r w:rsidRPr="00092FC6">
        <w:rPr>
          <w:lang w:val="en-US"/>
        </w:rPr>
        <w:t xml:space="preserve"> 15</w:t>
      </w:r>
      <w:r w:rsidR="00785FD6" w:rsidRPr="00092FC6">
        <w:rPr>
          <w:lang w:val="en-US"/>
        </w:rPr>
        <w:t> </w:t>
      </w:r>
      <w:r w:rsidRPr="00092FC6">
        <w:rPr>
          <w:lang w:val="en-US"/>
        </w:rPr>
        <w:t>sec</w:t>
      </w:r>
      <w:r w:rsidR="008F3AFD" w:rsidRPr="00092FC6">
        <w:rPr>
          <w:lang w:val="en-US"/>
        </w:rPr>
        <w:t>onds</w:t>
      </w:r>
      <w:r w:rsidRPr="00092FC6">
        <w:rPr>
          <w:lang w:val="en-US"/>
        </w:rPr>
        <w:t>; annealing at 55</w:t>
      </w:r>
      <w:r w:rsidR="005D7229" w:rsidRPr="00092FC6">
        <w:rPr>
          <w:lang w:val="en-US"/>
        </w:rPr>
        <w:t xml:space="preserve">°C </w:t>
      </w:r>
      <w:r w:rsidR="002D5A69" w:rsidRPr="00092FC6">
        <w:rPr>
          <w:lang w:val="en-US"/>
        </w:rPr>
        <w:t>for</w:t>
      </w:r>
      <w:r w:rsidRPr="00092FC6">
        <w:rPr>
          <w:lang w:val="en-US"/>
        </w:rPr>
        <w:t xml:space="preserve"> 30</w:t>
      </w:r>
      <w:r w:rsidR="00D82498">
        <w:rPr>
          <w:lang w:val="en-US"/>
        </w:rPr>
        <w:t> </w:t>
      </w:r>
      <w:r w:rsidR="008F3AFD" w:rsidRPr="00092FC6">
        <w:rPr>
          <w:lang w:val="en-US"/>
        </w:rPr>
        <w:t>seconds</w:t>
      </w:r>
      <w:r w:rsidRPr="00092FC6">
        <w:rPr>
          <w:lang w:val="en-US"/>
        </w:rPr>
        <w:t>; and elongation at 72</w:t>
      </w:r>
      <w:r w:rsidR="005D7229" w:rsidRPr="00092FC6">
        <w:rPr>
          <w:lang w:val="en-US"/>
        </w:rPr>
        <w:t xml:space="preserve">°C </w:t>
      </w:r>
      <w:r w:rsidR="002D5A69" w:rsidRPr="00092FC6">
        <w:rPr>
          <w:lang w:val="en-US"/>
        </w:rPr>
        <w:t>for</w:t>
      </w:r>
      <w:r w:rsidRPr="00092FC6">
        <w:rPr>
          <w:lang w:val="en-US"/>
        </w:rPr>
        <w:t xml:space="preserve"> 30 </w:t>
      </w:r>
      <w:r w:rsidR="008F3AFD" w:rsidRPr="00092FC6">
        <w:rPr>
          <w:lang w:val="en-US"/>
        </w:rPr>
        <w:t xml:space="preserve">seconds </w:t>
      </w:r>
      <w:r w:rsidRPr="00092FC6">
        <w:rPr>
          <w:lang w:val="en-US"/>
        </w:rPr>
        <w:t>are performed.</w:t>
      </w:r>
    </w:p>
    <w:p w14:paraId="5F0632C3" w14:textId="747CA6CC" w:rsidR="00D54612" w:rsidRPr="00092FC6" w:rsidRDefault="00D54612" w:rsidP="00BE0F1D">
      <w:pPr>
        <w:pStyle w:val="111Para"/>
      </w:pPr>
      <w:r w:rsidRPr="00B04614">
        <w:rPr>
          <w:strike/>
        </w:rPr>
        <w:t xml:space="preserve">A recently developed </w:t>
      </w:r>
      <w:r w:rsidR="00B04614" w:rsidRPr="00B04614">
        <w:rPr>
          <w:u w:val="double"/>
        </w:rPr>
        <w:t>R</w:t>
      </w:r>
      <w:r w:rsidRPr="00092FC6">
        <w:t xml:space="preserve">eal-time RT-PCR for detection of VEE virus (Vina-Rodriguez </w:t>
      </w:r>
      <w:r w:rsidRPr="00092FC6">
        <w:rPr>
          <w:i/>
        </w:rPr>
        <w:t>et al.,</w:t>
      </w:r>
      <w:r w:rsidRPr="00092FC6">
        <w:t xml:space="preserve"> 2016) was evaluated on a set of synthetic RNA oligonucleotides</w:t>
      </w:r>
      <w:r w:rsidRPr="00B04614">
        <w:rPr>
          <w:strike/>
        </w:rPr>
        <w:t>,</w:t>
      </w:r>
      <w:r w:rsidRPr="00092FC6">
        <w:t xml:space="preserve"> and needs further validation with field samples of VEE</w:t>
      </w:r>
      <w:r w:rsidR="00132E01" w:rsidRPr="00092FC6">
        <w:t xml:space="preserve"> virus</w:t>
      </w:r>
      <w:r w:rsidRPr="00092FC6">
        <w:t xml:space="preserve">. This is particularly important because the nsP1 genome area where the primers and probes were selected is highly conserved in alphaviruses (Eshoo </w:t>
      </w:r>
      <w:r w:rsidRPr="00092FC6">
        <w:rPr>
          <w:i/>
        </w:rPr>
        <w:t>et al.,</w:t>
      </w:r>
      <w:r w:rsidRPr="00092FC6">
        <w:t xml:space="preserve"> 2007), and </w:t>
      </w:r>
      <w:r w:rsidRPr="00B04614">
        <w:rPr>
          <w:strike/>
        </w:rPr>
        <w:t>as such a</w:t>
      </w:r>
      <w:r w:rsidRPr="00092FC6">
        <w:t xml:space="preserve"> </w:t>
      </w:r>
      <w:r w:rsidR="00B04614" w:rsidRPr="00B04614">
        <w:rPr>
          <w:u w:val="double"/>
        </w:rPr>
        <w:t xml:space="preserve">the </w:t>
      </w:r>
      <w:r w:rsidRPr="00092FC6">
        <w:t>possibility of undesired cross-reactivity needs to be ruled out.</w:t>
      </w:r>
    </w:p>
    <w:p w14:paraId="30E52BDB" w14:textId="0B0721D6" w:rsidR="003B030C" w:rsidRPr="00092FC6" w:rsidRDefault="003B030C" w:rsidP="008F3AFD">
      <w:pPr>
        <w:pStyle w:val="para1"/>
        <w:spacing w:after="120"/>
        <w:jc w:val="center"/>
        <w:rPr>
          <w:rFonts w:ascii="Ottawa" w:hAnsi="Ottawa" w:cs="Courier New"/>
          <w:i/>
        </w:rPr>
      </w:pPr>
      <w:r w:rsidRPr="00092FC6">
        <w:rPr>
          <w:rFonts w:ascii="Ottawa" w:hAnsi="Ottawa" w:cs="Courier New"/>
          <w:b/>
          <w:i/>
        </w:rPr>
        <w:t>Table 3.</w:t>
      </w:r>
      <w:r w:rsidRPr="00092FC6">
        <w:rPr>
          <w:rFonts w:ascii="Ottawa" w:hAnsi="Ottawa" w:cs="Courier New"/>
          <w:i/>
        </w:rPr>
        <w:t xml:space="preserve"> Real-time RT-PCR primers and probes to EEE and WEE</w:t>
      </w:r>
      <w:r w:rsidR="00D54612" w:rsidRPr="00092FC6">
        <w:rPr>
          <w:rFonts w:ascii="Ottawa" w:hAnsi="Ottawa" w:cs="Courier New"/>
          <w:i/>
        </w:rPr>
        <w:t xml:space="preserve"> viruses</w:t>
      </w:r>
      <w:r w:rsidR="00835913" w:rsidRPr="00092FC6">
        <w:rPr>
          <w:rFonts w:ascii="Ottawa" w:hAnsi="Ottawa" w:cs="Courier New"/>
          <w:i/>
        </w:rPr>
        <w:t>.</w:t>
      </w:r>
      <w:r w:rsidRPr="00092FC6">
        <w:rPr>
          <w:rFonts w:ascii="Ottawa" w:hAnsi="Ottawa" w:cs="Courier New"/>
          <w:i/>
        </w:rPr>
        <w:t xml:space="preserve"> </w:t>
      </w:r>
      <w:r w:rsidR="008F3AFD" w:rsidRPr="00092FC6">
        <w:rPr>
          <w:rFonts w:ascii="Ottawa" w:hAnsi="Ottawa" w:cs="Courier New"/>
          <w:i/>
        </w:rPr>
        <w:br/>
      </w:r>
      <w:r w:rsidR="00835913" w:rsidRPr="00092FC6">
        <w:rPr>
          <w:rFonts w:ascii="Ottawa" w:hAnsi="Ottawa" w:cs="Courier New"/>
          <w:i/>
        </w:rPr>
        <w:t xml:space="preserve">Both probes are labelled with FAM and quenched with BHQ1 </w:t>
      </w:r>
      <w:r w:rsidR="00835913" w:rsidRPr="00092FC6">
        <w:rPr>
          <w:rFonts w:ascii="Ottawa" w:hAnsi="Ottawa" w:cs="Courier New"/>
        </w:rPr>
        <w:t>(</w:t>
      </w:r>
      <w:r w:rsidR="00835913" w:rsidRPr="00092FC6">
        <w:rPr>
          <w:rFonts w:ascii="Ottawa" w:hAnsi="Ottawa" w:cs="Courier New"/>
          <w:i/>
        </w:rPr>
        <w:t xml:space="preserve">Lambert </w:t>
      </w:r>
      <w:r w:rsidR="00835913" w:rsidRPr="00092FC6">
        <w:rPr>
          <w:rFonts w:ascii="Ottawa" w:hAnsi="Ottawa" w:cs="Courier New"/>
        </w:rPr>
        <w:t>et a</w:t>
      </w:r>
      <w:r w:rsidR="00860426" w:rsidRPr="00092FC6">
        <w:rPr>
          <w:rFonts w:ascii="Ottawa" w:hAnsi="Ottawa" w:cs="Courier New"/>
        </w:rPr>
        <w:t>l.,</w:t>
      </w:r>
      <w:r w:rsidR="00860426" w:rsidRPr="00092FC6">
        <w:rPr>
          <w:rFonts w:ascii="Ottawa" w:hAnsi="Ottawa" w:cs="Courier New"/>
          <w:i/>
        </w:rPr>
        <w:t xml:space="preserve"> 2003</w:t>
      </w:r>
      <w:r w:rsidR="00860426" w:rsidRPr="00092FC6">
        <w:rPr>
          <w:rFonts w:ascii="Ottawa" w:hAnsi="Ottawa" w:cs="Courier New"/>
        </w:rPr>
        <w:t>)</w:t>
      </w:r>
    </w:p>
    <w:tbl>
      <w:tblPr>
        <w:tblStyle w:val="Grilledutableau"/>
        <w:tblW w:w="9072" w:type="dxa"/>
        <w:tblInd w:w="108" w:type="dxa"/>
        <w:tblLook w:val="04A0" w:firstRow="1" w:lastRow="0" w:firstColumn="1" w:lastColumn="0" w:noHBand="0" w:noVBand="1"/>
      </w:tblPr>
      <w:tblGrid>
        <w:gridCol w:w="709"/>
        <w:gridCol w:w="2126"/>
        <w:gridCol w:w="1560"/>
        <w:gridCol w:w="3640"/>
        <w:gridCol w:w="1037"/>
      </w:tblGrid>
      <w:tr w:rsidR="00470354" w:rsidRPr="00092FC6" w14:paraId="320E65A0" w14:textId="77777777" w:rsidTr="008F3AFD">
        <w:trPr>
          <w:tblHeader/>
        </w:trPr>
        <w:tc>
          <w:tcPr>
            <w:tcW w:w="709" w:type="dxa"/>
            <w:vAlign w:val="center"/>
          </w:tcPr>
          <w:p w14:paraId="4CA19EB6" w14:textId="1700CA8C" w:rsidR="003B030C" w:rsidRPr="00092FC6" w:rsidRDefault="003B030C" w:rsidP="007533A5">
            <w:pPr>
              <w:pStyle w:val="para1"/>
              <w:spacing w:before="100" w:after="100"/>
              <w:jc w:val="center"/>
              <w:rPr>
                <w:b/>
              </w:rPr>
            </w:pPr>
            <w:r w:rsidRPr="00092FC6">
              <w:rPr>
                <w:b/>
              </w:rPr>
              <w:t>Virus</w:t>
            </w:r>
          </w:p>
        </w:tc>
        <w:tc>
          <w:tcPr>
            <w:tcW w:w="2126" w:type="dxa"/>
            <w:vAlign w:val="center"/>
          </w:tcPr>
          <w:p w14:paraId="6F529371" w14:textId="6083C6FB" w:rsidR="003B030C" w:rsidRPr="00092FC6" w:rsidRDefault="003B030C" w:rsidP="007533A5">
            <w:pPr>
              <w:pStyle w:val="para1"/>
              <w:spacing w:before="100" w:after="100"/>
              <w:jc w:val="center"/>
              <w:rPr>
                <w:b/>
              </w:rPr>
            </w:pPr>
            <w:r w:rsidRPr="00092FC6">
              <w:rPr>
                <w:b/>
              </w:rPr>
              <w:t>Reagent designation</w:t>
            </w:r>
          </w:p>
        </w:tc>
        <w:tc>
          <w:tcPr>
            <w:tcW w:w="1560" w:type="dxa"/>
            <w:vAlign w:val="center"/>
          </w:tcPr>
          <w:p w14:paraId="4DEF4266" w14:textId="51E27BE4" w:rsidR="003B030C" w:rsidRPr="00092FC6" w:rsidRDefault="003B030C" w:rsidP="007533A5">
            <w:pPr>
              <w:pStyle w:val="para1"/>
              <w:spacing w:before="100" w:after="100"/>
              <w:jc w:val="center"/>
              <w:rPr>
                <w:b/>
              </w:rPr>
            </w:pPr>
            <w:r w:rsidRPr="00092FC6">
              <w:rPr>
                <w:b/>
              </w:rPr>
              <w:t>Genome position</w:t>
            </w:r>
          </w:p>
        </w:tc>
        <w:tc>
          <w:tcPr>
            <w:tcW w:w="3640" w:type="dxa"/>
            <w:vAlign w:val="center"/>
          </w:tcPr>
          <w:p w14:paraId="1793B515" w14:textId="61BDA4FA" w:rsidR="003B030C" w:rsidRPr="00092FC6" w:rsidRDefault="00835913" w:rsidP="007533A5">
            <w:pPr>
              <w:pStyle w:val="para1"/>
              <w:spacing w:before="100" w:after="100"/>
              <w:jc w:val="center"/>
              <w:rPr>
                <w:b/>
              </w:rPr>
            </w:pPr>
            <w:r w:rsidRPr="00092FC6">
              <w:rPr>
                <w:b/>
              </w:rPr>
              <w:t>Sequence (5’</w:t>
            </w:r>
            <w:r w:rsidR="008F3AFD" w:rsidRPr="00092FC6">
              <w:rPr>
                <w:b/>
              </w:rPr>
              <w:t>–</w:t>
            </w:r>
            <w:r w:rsidRPr="00092FC6">
              <w:rPr>
                <w:b/>
              </w:rPr>
              <w:t>3’)</w:t>
            </w:r>
          </w:p>
        </w:tc>
        <w:tc>
          <w:tcPr>
            <w:tcW w:w="1037" w:type="dxa"/>
            <w:vAlign w:val="center"/>
          </w:tcPr>
          <w:p w14:paraId="6ED30FB4" w14:textId="54BAA689" w:rsidR="003B030C" w:rsidRPr="00092FC6" w:rsidRDefault="003B030C" w:rsidP="007533A5">
            <w:pPr>
              <w:pStyle w:val="para1"/>
              <w:spacing w:before="100" w:after="100"/>
              <w:jc w:val="center"/>
              <w:rPr>
                <w:b/>
              </w:rPr>
            </w:pPr>
            <w:r w:rsidRPr="00092FC6">
              <w:rPr>
                <w:b/>
              </w:rPr>
              <w:t>Amplicon length</w:t>
            </w:r>
          </w:p>
        </w:tc>
      </w:tr>
      <w:tr w:rsidR="00470354" w:rsidRPr="00092FC6" w14:paraId="506E51F1" w14:textId="77777777" w:rsidTr="008F3AFD">
        <w:tc>
          <w:tcPr>
            <w:tcW w:w="709" w:type="dxa"/>
          </w:tcPr>
          <w:p w14:paraId="6D5D8111" w14:textId="2FEC03D6" w:rsidR="003B030C" w:rsidRPr="00092FC6" w:rsidRDefault="003B030C" w:rsidP="007533A5">
            <w:pPr>
              <w:pStyle w:val="para1"/>
              <w:spacing w:before="100" w:after="100"/>
            </w:pPr>
            <w:r w:rsidRPr="00092FC6">
              <w:t>EEE</w:t>
            </w:r>
          </w:p>
        </w:tc>
        <w:tc>
          <w:tcPr>
            <w:tcW w:w="2126" w:type="dxa"/>
          </w:tcPr>
          <w:p w14:paraId="372D5021" w14:textId="3F0268A9" w:rsidR="003B030C" w:rsidRPr="00092FC6" w:rsidRDefault="003B030C" w:rsidP="007533A5">
            <w:pPr>
              <w:pStyle w:val="para1"/>
              <w:spacing w:before="100" w:after="100"/>
            </w:pPr>
            <w:r w:rsidRPr="00092FC6">
              <w:t>EEE 9391</w:t>
            </w:r>
            <w:r w:rsidR="00835913" w:rsidRPr="00092FC6">
              <w:t>, primer F</w:t>
            </w:r>
          </w:p>
        </w:tc>
        <w:tc>
          <w:tcPr>
            <w:tcW w:w="1560" w:type="dxa"/>
          </w:tcPr>
          <w:p w14:paraId="6067CBA4" w14:textId="1376E493" w:rsidR="003B030C" w:rsidRPr="00092FC6" w:rsidRDefault="003B030C" w:rsidP="007533A5">
            <w:pPr>
              <w:pStyle w:val="para1"/>
              <w:spacing w:before="100" w:after="100"/>
            </w:pPr>
            <w:r w:rsidRPr="00092FC6">
              <w:t>9391–9411</w:t>
            </w:r>
          </w:p>
        </w:tc>
        <w:tc>
          <w:tcPr>
            <w:tcW w:w="3640" w:type="dxa"/>
          </w:tcPr>
          <w:p w14:paraId="64E7CC60" w14:textId="4C09F959" w:rsidR="003B030C" w:rsidRPr="00092FC6" w:rsidRDefault="00835913" w:rsidP="007533A5">
            <w:pPr>
              <w:pStyle w:val="para1"/>
              <w:spacing w:before="100" w:after="100"/>
            </w:pPr>
            <w:r w:rsidRPr="00092FC6">
              <w:t>ACA</w:t>
            </w:r>
            <w:r w:rsidR="008F3AFD" w:rsidRPr="00092FC6">
              <w:t>-</w:t>
            </w:r>
            <w:r w:rsidRPr="00092FC6">
              <w:t>CCG</w:t>
            </w:r>
            <w:r w:rsidR="008F3AFD" w:rsidRPr="00092FC6">
              <w:t>-</w:t>
            </w:r>
            <w:r w:rsidRPr="00092FC6">
              <w:t>CAC</w:t>
            </w:r>
            <w:r w:rsidR="008F3AFD" w:rsidRPr="00092FC6">
              <w:t>-</w:t>
            </w:r>
            <w:r w:rsidRPr="00092FC6">
              <w:t>CCT</w:t>
            </w:r>
            <w:r w:rsidR="008F3AFD" w:rsidRPr="00092FC6">
              <w:t>-</w:t>
            </w:r>
            <w:r w:rsidRPr="00092FC6">
              <w:t>GAT</w:t>
            </w:r>
            <w:r w:rsidR="008F3AFD" w:rsidRPr="00092FC6">
              <w:t>-</w:t>
            </w:r>
            <w:r w:rsidRPr="00092FC6">
              <w:t>TTT</w:t>
            </w:r>
            <w:r w:rsidR="008F3AFD" w:rsidRPr="00092FC6">
              <w:t>-</w:t>
            </w:r>
            <w:r w:rsidRPr="00092FC6">
              <w:t>ACA</w:t>
            </w:r>
          </w:p>
        </w:tc>
        <w:tc>
          <w:tcPr>
            <w:tcW w:w="1037" w:type="dxa"/>
          </w:tcPr>
          <w:p w14:paraId="08FC41A0" w14:textId="016AE551" w:rsidR="003B030C" w:rsidRPr="00092FC6" w:rsidRDefault="00835913" w:rsidP="007533A5">
            <w:pPr>
              <w:pStyle w:val="para1"/>
              <w:spacing w:before="100" w:after="100"/>
              <w:jc w:val="center"/>
            </w:pPr>
            <w:r w:rsidRPr="00092FC6">
              <w:t>69</w:t>
            </w:r>
          </w:p>
        </w:tc>
      </w:tr>
      <w:tr w:rsidR="00470354" w:rsidRPr="00092FC6" w14:paraId="5811BA68" w14:textId="77777777" w:rsidTr="008F3AFD">
        <w:tc>
          <w:tcPr>
            <w:tcW w:w="709" w:type="dxa"/>
          </w:tcPr>
          <w:p w14:paraId="334A7AF2" w14:textId="77777777" w:rsidR="003B030C" w:rsidRPr="00092FC6" w:rsidRDefault="003B030C" w:rsidP="007533A5">
            <w:pPr>
              <w:pStyle w:val="para1"/>
              <w:spacing w:before="100" w:after="100"/>
            </w:pPr>
          </w:p>
        </w:tc>
        <w:tc>
          <w:tcPr>
            <w:tcW w:w="2126" w:type="dxa"/>
          </w:tcPr>
          <w:p w14:paraId="4B5B5B13" w14:textId="6E7A9D45" w:rsidR="003B030C" w:rsidRPr="00092FC6" w:rsidRDefault="00835913" w:rsidP="007533A5">
            <w:pPr>
              <w:pStyle w:val="para1"/>
              <w:spacing w:before="100" w:after="100"/>
            </w:pPr>
            <w:r w:rsidRPr="00092FC6">
              <w:t>EEE 9459c, primer R</w:t>
            </w:r>
          </w:p>
        </w:tc>
        <w:tc>
          <w:tcPr>
            <w:tcW w:w="1560" w:type="dxa"/>
          </w:tcPr>
          <w:p w14:paraId="0AC1B47C" w14:textId="318B2DD0" w:rsidR="003B030C" w:rsidRPr="00092FC6" w:rsidRDefault="00835913" w:rsidP="007533A5">
            <w:pPr>
              <w:pStyle w:val="para1"/>
              <w:spacing w:before="100" w:after="100"/>
            </w:pPr>
            <w:r w:rsidRPr="00092FC6">
              <w:t>9459–9439</w:t>
            </w:r>
          </w:p>
        </w:tc>
        <w:tc>
          <w:tcPr>
            <w:tcW w:w="3640" w:type="dxa"/>
          </w:tcPr>
          <w:p w14:paraId="10EBDAFF" w14:textId="156A98F9" w:rsidR="003B030C" w:rsidRPr="00092FC6" w:rsidRDefault="00835913" w:rsidP="007533A5">
            <w:pPr>
              <w:pStyle w:val="para1"/>
              <w:spacing w:before="100" w:after="100"/>
            </w:pPr>
            <w:r w:rsidRPr="00092FC6">
              <w:t>CTT</w:t>
            </w:r>
            <w:r w:rsidR="008F3AFD" w:rsidRPr="00092FC6">
              <w:t>-</w:t>
            </w:r>
            <w:r w:rsidRPr="00092FC6">
              <w:t>CCA</w:t>
            </w:r>
            <w:r w:rsidR="008F3AFD" w:rsidRPr="00092FC6">
              <w:t>-</w:t>
            </w:r>
            <w:r w:rsidRPr="00092FC6">
              <w:t>AGT</w:t>
            </w:r>
            <w:r w:rsidR="008F3AFD" w:rsidRPr="00092FC6">
              <w:t>-</w:t>
            </w:r>
            <w:r w:rsidRPr="00092FC6">
              <w:t>GAC</w:t>
            </w:r>
            <w:r w:rsidR="008F3AFD" w:rsidRPr="00092FC6">
              <w:t>-</w:t>
            </w:r>
            <w:r w:rsidRPr="00092FC6">
              <w:t>CTG</w:t>
            </w:r>
            <w:r w:rsidR="008F3AFD" w:rsidRPr="00092FC6">
              <w:t>-</w:t>
            </w:r>
            <w:r w:rsidRPr="00092FC6">
              <w:t>GTC</w:t>
            </w:r>
            <w:r w:rsidR="008F3AFD" w:rsidRPr="00092FC6">
              <w:t>-</w:t>
            </w:r>
            <w:r w:rsidRPr="00092FC6">
              <w:t>GTC</w:t>
            </w:r>
          </w:p>
        </w:tc>
        <w:tc>
          <w:tcPr>
            <w:tcW w:w="1037" w:type="dxa"/>
          </w:tcPr>
          <w:p w14:paraId="44359E96" w14:textId="2B986873" w:rsidR="003B030C" w:rsidRPr="00092FC6" w:rsidRDefault="003B030C" w:rsidP="007533A5">
            <w:pPr>
              <w:pStyle w:val="para1"/>
              <w:spacing w:before="100" w:after="100"/>
            </w:pPr>
          </w:p>
        </w:tc>
      </w:tr>
      <w:tr w:rsidR="00470354" w:rsidRPr="00092FC6" w14:paraId="6DC8249A" w14:textId="77777777" w:rsidTr="008F3AFD">
        <w:tc>
          <w:tcPr>
            <w:tcW w:w="709" w:type="dxa"/>
          </w:tcPr>
          <w:p w14:paraId="3B29006C" w14:textId="77777777" w:rsidR="003B030C" w:rsidRPr="00092FC6" w:rsidRDefault="003B030C" w:rsidP="007533A5">
            <w:pPr>
              <w:pStyle w:val="para1"/>
              <w:spacing w:before="100" w:after="100"/>
            </w:pPr>
          </w:p>
        </w:tc>
        <w:tc>
          <w:tcPr>
            <w:tcW w:w="2126" w:type="dxa"/>
          </w:tcPr>
          <w:p w14:paraId="2F020481" w14:textId="10E2E44F" w:rsidR="003B030C" w:rsidRPr="00092FC6" w:rsidRDefault="00835913" w:rsidP="007533A5">
            <w:pPr>
              <w:pStyle w:val="para1"/>
              <w:spacing w:before="100" w:after="100"/>
            </w:pPr>
            <w:r w:rsidRPr="00092FC6">
              <w:t>EEE 9414 Probe</w:t>
            </w:r>
          </w:p>
        </w:tc>
        <w:tc>
          <w:tcPr>
            <w:tcW w:w="1560" w:type="dxa"/>
          </w:tcPr>
          <w:p w14:paraId="7B739776" w14:textId="564AFD8F" w:rsidR="003B030C" w:rsidRPr="00092FC6" w:rsidRDefault="00835913" w:rsidP="007533A5">
            <w:pPr>
              <w:pStyle w:val="para1"/>
              <w:spacing w:before="100" w:after="100"/>
            </w:pPr>
            <w:r w:rsidRPr="00092FC6">
              <w:t>9414–9434</w:t>
            </w:r>
          </w:p>
        </w:tc>
        <w:tc>
          <w:tcPr>
            <w:tcW w:w="3640" w:type="dxa"/>
          </w:tcPr>
          <w:p w14:paraId="1CE4B9C2" w14:textId="76C2E50A" w:rsidR="003B030C" w:rsidRPr="00092FC6" w:rsidRDefault="00835913" w:rsidP="007533A5">
            <w:pPr>
              <w:pStyle w:val="para1"/>
              <w:spacing w:before="100" w:after="100"/>
            </w:pPr>
            <w:r w:rsidRPr="00092FC6">
              <w:t>TGC</w:t>
            </w:r>
            <w:r w:rsidR="008F3AFD" w:rsidRPr="00092FC6">
              <w:t>-</w:t>
            </w:r>
            <w:r w:rsidRPr="00092FC6">
              <w:t>ACC</w:t>
            </w:r>
            <w:r w:rsidR="008F3AFD" w:rsidRPr="00092FC6">
              <w:t>-</w:t>
            </w:r>
            <w:r w:rsidRPr="00092FC6">
              <w:t>CGG</w:t>
            </w:r>
            <w:r w:rsidR="008F3AFD" w:rsidRPr="00092FC6">
              <w:t>-</w:t>
            </w:r>
            <w:r w:rsidRPr="00092FC6">
              <w:t>ACC</w:t>
            </w:r>
            <w:r w:rsidR="008F3AFD" w:rsidRPr="00092FC6">
              <w:t>-</w:t>
            </w:r>
            <w:r w:rsidRPr="00092FC6">
              <w:t>ATC</w:t>
            </w:r>
            <w:r w:rsidR="008F3AFD" w:rsidRPr="00092FC6">
              <w:t>-</w:t>
            </w:r>
            <w:r w:rsidRPr="00092FC6">
              <w:t>CGA</w:t>
            </w:r>
            <w:r w:rsidR="008F3AFD" w:rsidRPr="00092FC6">
              <w:t>-</w:t>
            </w:r>
            <w:r w:rsidRPr="00092FC6">
              <w:t>CCT</w:t>
            </w:r>
          </w:p>
        </w:tc>
        <w:tc>
          <w:tcPr>
            <w:tcW w:w="1037" w:type="dxa"/>
          </w:tcPr>
          <w:p w14:paraId="1C867877" w14:textId="433D2C99" w:rsidR="003B030C" w:rsidRPr="00092FC6" w:rsidRDefault="003B030C" w:rsidP="007533A5">
            <w:pPr>
              <w:pStyle w:val="para1"/>
              <w:spacing w:before="100" w:after="100"/>
            </w:pPr>
          </w:p>
        </w:tc>
      </w:tr>
      <w:tr w:rsidR="00470354" w:rsidRPr="00092FC6" w14:paraId="630B602F" w14:textId="77777777" w:rsidTr="008F3AFD">
        <w:tc>
          <w:tcPr>
            <w:tcW w:w="709" w:type="dxa"/>
          </w:tcPr>
          <w:p w14:paraId="32310AB4" w14:textId="7DC55849" w:rsidR="003B030C" w:rsidRPr="00092FC6" w:rsidRDefault="00835913" w:rsidP="007533A5">
            <w:pPr>
              <w:pStyle w:val="para1"/>
              <w:spacing w:before="100" w:after="100"/>
            </w:pPr>
            <w:r w:rsidRPr="00092FC6">
              <w:t>WEE</w:t>
            </w:r>
          </w:p>
        </w:tc>
        <w:tc>
          <w:tcPr>
            <w:tcW w:w="2126" w:type="dxa"/>
          </w:tcPr>
          <w:p w14:paraId="1E745E74" w14:textId="43C6F03A" w:rsidR="003B030C" w:rsidRPr="00092FC6" w:rsidRDefault="00835913" w:rsidP="007533A5">
            <w:pPr>
              <w:pStyle w:val="para1"/>
              <w:spacing w:before="100" w:after="100"/>
            </w:pPr>
            <w:r w:rsidRPr="00092FC6">
              <w:t>WEE 10,248 primer F</w:t>
            </w:r>
          </w:p>
        </w:tc>
        <w:tc>
          <w:tcPr>
            <w:tcW w:w="1560" w:type="dxa"/>
          </w:tcPr>
          <w:p w14:paraId="7158516B" w14:textId="5677F56E" w:rsidR="003B030C" w:rsidRPr="00092FC6" w:rsidRDefault="00835913" w:rsidP="007533A5">
            <w:pPr>
              <w:pStyle w:val="para1"/>
              <w:spacing w:before="100" w:after="100"/>
            </w:pPr>
            <w:r w:rsidRPr="00092FC6">
              <w:t>10,248–10,267</w:t>
            </w:r>
          </w:p>
        </w:tc>
        <w:tc>
          <w:tcPr>
            <w:tcW w:w="3640" w:type="dxa"/>
          </w:tcPr>
          <w:p w14:paraId="41D15CC6" w14:textId="42FD7A35" w:rsidR="003B030C" w:rsidRPr="00092FC6" w:rsidRDefault="00835913" w:rsidP="007533A5">
            <w:pPr>
              <w:pStyle w:val="para1"/>
              <w:spacing w:before="100" w:after="100"/>
            </w:pPr>
            <w:r w:rsidRPr="00092FC6">
              <w:t>CTG</w:t>
            </w:r>
            <w:r w:rsidR="008F3AFD" w:rsidRPr="00092FC6">
              <w:t>-</w:t>
            </w:r>
            <w:r w:rsidRPr="00092FC6">
              <w:t>AAA</w:t>
            </w:r>
            <w:r w:rsidR="008F3AFD" w:rsidRPr="00092FC6">
              <w:t>-</w:t>
            </w:r>
            <w:r w:rsidRPr="00092FC6">
              <w:t>GTC</w:t>
            </w:r>
            <w:r w:rsidR="008F3AFD" w:rsidRPr="00092FC6">
              <w:t>-</w:t>
            </w:r>
            <w:r w:rsidRPr="00092FC6">
              <w:t>GGC</w:t>
            </w:r>
            <w:r w:rsidR="008F3AFD" w:rsidRPr="00092FC6">
              <w:t>-</w:t>
            </w:r>
            <w:r w:rsidRPr="00092FC6">
              <w:t>CTG</w:t>
            </w:r>
            <w:r w:rsidR="008F3AFD" w:rsidRPr="00092FC6">
              <w:t>-</w:t>
            </w:r>
            <w:r w:rsidRPr="00092FC6">
              <w:t>CGT</w:t>
            </w:r>
            <w:r w:rsidR="008F3AFD" w:rsidRPr="00092FC6">
              <w:t>-</w:t>
            </w:r>
            <w:r w:rsidRPr="00092FC6">
              <w:t>AT</w:t>
            </w:r>
          </w:p>
        </w:tc>
        <w:tc>
          <w:tcPr>
            <w:tcW w:w="1037" w:type="dxa"/>
          </w:tcPr>
          <w:p w14:paraId="6438686F" w14:textId="25F34244" w:rsidR="003B030C" w:rsidRPr="00092FC6" w:rsidRDefault="00835913" w:rsidP="007533A5">
            <w:pPr>
              <w:pStyle w:val="para1"/>
              <w:spacing w:before="100" w:after="100"/>
              <w:jc w:val="center"/>
            </w:pPr>
            <w:r w:rsidRPr="00092FC6">
              <w:t>67</w:t>
            </w:r>
          </w:p>
        </w:tc>
      </w:tr>
      <w:tr w:rsidR="00470354" w:rsidRPr="00092FC6" w14:paraId="18CAA6E6" w14:textId="77777777" w:rsidTr="008F3AFD">
        <w:tc>
          <w:tcPr>
            <w:tcW w:w="709" w:type="dxa"/>
          </w:tcPr>
          <w:p w14:paraId="4675E090" w14:textId="77777777" w:rsidR="003B030C" w:rsidRPr="00092FC6" w:rsidRDefault="003B030C" w:rsidP="007533A5">
            <w:pPr>
              <w:pStyle w:val="para1"/>
              <w:spacing w:before="100" w:after="100"/>
            </w:pPr>
          </w:p>
        </w:tc>
        <w:tc>
          <w:tcPr>
            <w:tcW w:w="2126" w:type="dxa"/>
          </w:tcPr>
          <w:p w14:paraId="3334C6F6" w14:textId="44C02910" w:rsidR="003B030C" w:rsidRPr="00092FC6" w:rsidRDefault="00835913" w:rsidP="007533A5">
            <w:pPr>
              <w:pStyle w:val="para1"/>
              <w:spacing w:before="100" w:after="100"/>
            </w:pPr>
            <w:r w:rsidRPr="00092FC6">
              <w:t>WEE 10,314c primer R</w:t>
            </w:r>
          </w:p>
        </w:tc>
        <w:tc>
          <w:tcPr>
            <w:tcW w:w="1560" w:type="dxa"/>
          </w:tcPr>
          <w:p w14:paraId="0AC18C42" w14:textId="01D1F0DC" w:rsidR="003B030C" w:rsidRPr="00092FC6" w:rsidRDefault="00835913" w:rsidP="007533A5">
            <w:pPr>
              <w:pStyle w:val="para1"/>
              <w:spacing w:before="100" w:after="100"/>
            </w:pPr>
            <w:r w:rsidRPr="00092FC6">
              <w:t>10,314–10,295</w:t>
            </w:r>
          </w:p>
        </w:tc>
        <w:tc>
          <w:tcPr>
            <w:tcW w:w="3640" w:type="dxa"/>
          </w:tcPr>
          <w:p w14:paraId="2E2BC745" w14:textId="302E1BCE" w:rsidR="003B030C" w:rsidRPr="00092FC6" w:rsidRDefault="00835913" w:rsidP="007533A5">
            <w:pPr>
              <w:pStyle w:val="para1"/>
              <w:spacing w:before="100" w:after="100"/>
            </w:pPr>
            <w:r w:rsidRPr="00092FC6">
              <w:t>CGC</w:t>
            </w:r>
            <w:r w:rsidR="008F3AFD" w:rsidRPr="00092FC6">
              <w:t>-</w:t>
            </w:r>
            <w:r w:rsidRPr="00092FC6">
              <w:t>CAT</w:t>
            </w:r>
            <w:r w:rsidR="008F3AFD" w:rsidRPr="00092FC6">
              <w:t>-</w:t>
            </w:r>
            <w:r w:rsidRPr="00092FC6">
              <w:t>TGA</w:t>
            </w:r>
            <w:r w:rsidR="008F3AFD" w:rsidRPr="00092FC6">
              <w:t>-</w:t>
            </w:r>
            <w:r w:rsidRPr="00092FC6">
              <w:t>CGA</w:t>
            </w:r>
            <w:r w:rsidR="008F3AFD" w:rsidRPr="00092FC6">
              <w:t>-</w:t>
            </w:r>
            <w:r w:rsidRPr="00092FC6">
              <w:t>ACG</w:t>
            </w:r>
            <w:r w:rsidR="008F3AFD" w:rsidRPr="00092FC6">
              <w:t>-</w:t>
            </w:r>
            <w:r w:rsidRPr="00092FC6">
              <w:t>TAT</w:t>
            </w:r>
            <w:r w:rsidR="008F3AFD" w:rsidRPr="00092FC6">
              <w:t>-</w:t>
            </w:r>
            <w:r w:rsidRPr="00092FC6">
              <w:t>CC</w:t>
            </w:r>
          </w:p>
        </w:tc>
        <w:tc>
          <w:tcPr>
            <w:tcW w:w="1037" w:type="dxa"/>
          </w:tcPr>
          <w:p w14:paraId="3E2E7EFE" w14:textId="17E1028E" w:rsidR="003B030C" w:rsidRPr="00092FC6" w:rsidRDefault="003B030C" w:rsidP="007533A5">
            <w:pPr>
              <w:pStyle w:val="para1"/>
              <w:spacing w:before="100" w:after="100"/>
            </w:pPr>
          </w:p>
        </w:tc>
      </w:tr>
      <w:tr w:rsidR="00470354" w:rsidRPr="00092FC6" w14:paraId="71ED063A" w14:textId="77777777" w:rsidTr="008F3AFD">
        <w:tc>
          <w:tcPr>
            <w:tcW w:w="709" w:type="dxa"/>
          </w:tcPr>
          <w:p w14:paraId="31718A1E" w14:textId="77777777" w:rsidR="003B030C" w:rsidRPr="00092FC6" w:rsidRDefault="003B030C" w:rsidP="007533A5">
            <w:pPr>
              <w:pStyle w:val="para1"/>
              <w:spacing w:before="100" w:after="100"/>
            </w:pPr>
          </w:p>
        </w:tc>
        <w:tc>
          <w:tcPr>
            <w:tcW w:w="2126" w:type="dxa"/>
          </w:tcPr>
          <w:p w14:paraId="6BCC5C17" w14:textId="6AFF5D84" w:rsidR="003B030C" w:rsidRPr="00092FC6" w:rsidRDefault="00835913" w:rsidP="007533A5">
            <w:pPr>
              <w:pStyle w:val="para1"/>
              <w:spacing w:before="100" w:after="100"/>
            </w:pPr>
            <w:r w:rsidRPr="00092FC6">
              <w:t>WEE 10,271</w:t>
            </w:r>
          </w:p>
        </w:tc>
        <w:tc>
          <w:tcPr>
            <w:tcW w:w="1560" w:type="dxa"/>
          </w:tcPr>
          <w:p w14:paraId="19F5CB3B" w14:textId="1574A6F9" w:rsidR="003B030C" w:rsidRPr="00092FC6" w:rsidRDefault="00835913" w:rsidP="007533A5">
            <w:pPr>
              <w:pStyle w:val="para1"/>
              <w:spacing w:before="100" w:after="100"/>
            </w:pPr>
            <w:r w:rsidRPr="00092FC6">
              <w:t>10,271–10,293</w:t>
            </w:r>
          </w:p>
        </w:tc>
        <w:tc>
          <w:tcPr>
            <w:tcW w:w="3640" w:type="dxa"/>
          </w:tcPr>
          <w:p w14:paraId="6E9909DD" w14:textId="4BDB1C49" w:rsidR="003B030C" w:rsidRPr="00092FC6" w:rsidRDefault="00835913" w:rsidP="007533A5">
            <w:pPr>
              <w:pStyle w:val="para1"/>
              <w:spacing w:before="100" w:after="100"/>
            </w:pPr>
            <w:r w:rsidRPr="00092FC6">
              <w:t>ATA</w:t>
            </w:r>
            <w:r w:rsidR="008F3AFD" w:rsidRPr="00092FC6">
              <w:t>-</w:t>
            </w:r>
            <w:r w:rsidRPr="00092FC6">
              <w:t>CGG</w:t>
            </w:r>
            <w:r w:rsidR="008F3AFD" w:rsidRPr="00092FC6">
              <w:t>-</w:t>
            </w:r>
            <w:r w:rsidRPr="00092FC6">
              <w:t>CAA</w:t>
            </w:r>
            <w:r w:rsidR="008F3AFD" w:rsidRPr="00092FC6">
              <w:t>-</w:t>
            </w:r>
            <w:r w:rsidRPr="00092FC6">
              <w:t>TAC</w:t>
            </w:r>
            <w:r w:rsidR="008F3AFD" w:rsidRPr="00092FC6">
              <w:t>-</w:t>
            </w:r>
            <w:r w:rsidRPr="00092FC6">
              <w:t>CAC</w:t>
            </w:r>
            <w:r w:rsidR="008F3AFD" w:rsidRPr="00092FC6">
              <w:t>-</w:t>
            </w:r>
            <w:r w:rsidRPr="00092FC6">
              <w:t>CGC</w:t>
            </w:r>
            <w:r w:rsidR="008F3AFD" w:rsidRPr="00092FC6">
              <w:t>-</w:t>
            </w:r>
            <w:r w:rsidRPr="00092FC6">
              <w:t>GCA</w:t>
            </w:r>
            <w:r w:rsidR="008F3AFD" w:rsidRPr="00092FC6">
              <w:t>-</w:t>
            </w:r>
            <w:r w:rsidRPr="00092FC6">
              <w:t>CC</w:t>
            </w:r>
          </w:p>
        </w:tc>
        <w:tc>
          <w:tcPr>
            <w:tcW w:w="1037" w:type="dxa"/>
          </w:tcPr>
          <w:p w14:paraId="05824711" w14:textId="6088790E" w:rsidR="003B030C" w:rsidRPr="00092FC6" w:rsidRDefault="003B030C" w:rsidP="007533A5">
            <w:pPr>
              <w:pStyle w:val="para1"/>
              <w:spacing w:before="100" w:after="100"/>
            </w:pPr>
          </w:p>
        </w:tc>
      </w:tr>
    </w:tbl>
    <w:p w14:paraId="2B3BC8A3" w14:textId="6080EE01" w:rsidR="00835913" w:rsidRPr="00092FC6" w:rsidRDefault="00835913" w:rsidP="008E3793">
      <w:pPr>
        <w:pStyle w:val="para1"/>
        <w:spacing w:before="120"/>
        <w:jc w:val="center"/>
      </w:pPr>
      <w:r w:rsidRPr="00092FC6">
        <w:t>F</w:t>
      </w:r>
      <w:r w:rsidR="008F3AFD" w:rsidRPr="00092FC6">
        <w:t>:</w:t>
      </w:r>
      <w:r w:rsidRPr="00092FC6">
        <w:t xml:space="preserve"> forward; R</w:t>
      </w:r>
      <w:r w:rsidR="008F3AFD" w:rsidRPr="00092FC6">
        <w:t>:</w:t>
      </w:r>
      <w:r w:rsidRPr="00092FC6">
        <w:t xml:space="preserve"> reverse.</w:t>
      </w:r>
    </w:p>
    <w:p w14:paraId="0C35A4AC" w14:textId="7F3861D4" w:rsidR="00C73B3D" w:rsidRPr="00092FC6" w:rsidRDefault="00C73B3D" w:rsidP="00C73B3D">
      <w:pPr>
        <w:pStyle w:val="11"/>
      </w:pPr>
      <w:r w:rsidRPr="00092FC6">
        <w:rPr>
          <w:lang w:val="en-IE"/>
        </w:rPr>
        <w:t>1.3.</w:t>
      </w:r>
      <w:r w:rsidRPr="00092FC6">
        <w:rPr>
          <w:lang w:val="en-IE"/>
        </w:rPr>
        <w:tab/>
      </w:r>
      <w:r w:rsidRPr="00092FC6">
        <w:t>Antigen detection</w:t>
      </w:r>
    </w:p>
    <w:p w14:paraId="0036BCC1" w14:textId="42D733E5" w:rsidR="000D432B" w:rsidRPr="00092FC6" w:rsidRDefault="00541689" w:rsidP="007932E8">
      <w:pPr>
        <w:pStyle w:val="11Para"/>
      </w:pPr>
      <w:r w:rsidRPr="00092FC6">
        <w:t xml:space="preserve">Antigen-capture ELISA has been developed for EEE surveillance in mosquitoes. This can be used in countries that do not have facilities for virus isolation or </w:t>
      </w:r>
      <w:r w:rsidR="00E95328" w:rsidRPr="00092FC6">
        <w:t>RT-</w:t>
      </w:r>
      <w:r w:rsidRPr="00092FC6">
        <w:t>PCR (</w:t>
      </w:r>
      <w:r w:rsidR="001517EB" w:rsidRPr="00092FC6">
        <w:t xml:space="preserve">Brown </w:t>
      </w:r>
      <w:r w:rsidR="00E23CBC" w:rsidRPr="00092FC6">
        <w:rPr>
          <w:i/>
        </w:rPr>
        <w:t>et al</w:t>
      </w:r>
      <w:r w:rsidR="001517EB" w:rsidRPr="00092FC6">
        <w:t>., 2001</w:t>
      </w:r>
      <w:r w:rsidRPr="00092FC6">
        <w:t>).</w:t>
      </w:r>
      <w:r w:rsidR="00131DEB" w:rsidRPr="00092FC6">
        <w:t xml:space="preserve"> </w:t>
      </w:r>
      <w:r w:rsidR="000D432B" w:rsidRPr="00092FC6">
        <w:t xml:space="preserve">Immunohistochemical </w:t>
      </w:r>
      <w:r w:rsidR="0078444A" w:rsidRPr="00092FC6">
        <w:t xml:space="preserve">(IHC) </w:t>
      </w:r>
      <w:r w:rsidR="000D432B" w:rsidRPr="00092FC6">
        <w:t xml:space="preserve">procedures </w:t>
      </w:r>
      <w:r w:rsidR="002958BE" w:rsidRPr="00092FC6">
        <w:t xml:space="preserve">are very useful </w:t>
      </w:r>
      <w:r w:rsidR="000D432B" w:rsidRPr="00092FC6">
        <w:t>for diagnosis of EEE</w:t>
      </w:r>
      <w:r w:rsidR="00B04614" w:rsidRPr="00B04614">
        <w:rPr>
          <w:u w:val="double"/>
        </w:rPr>
        <w:t>,</w:t>
      </w:r>
      <w:r w:rsidR="002958BE" w:rsidRPr="00092FC6">
        <w:t xml:space="preserve"> as they are carried out on fixed tissues</w:t>
      </w:r>
      <w:r w:rsidR="000D432B" w:rsidRPr="00092FC6">
        <w:t xml:space="preserve"> </w:t>
      </w:r>
      <w:r w:rsidR="00F64E23" w:rsidRPr="00092FC6">
        <w:t>(</w:t>
      </w:r>
      <w:r w:rsidR="00CE4F13" w:rsidRPr="00092FC6">
        <w:t xml:space="preserve">Pennick </w:t>
      </w:r>
      <w:r w:rsidR="00E23CBC" w:rsidRPr="00092FC6">
        <w:rPr>
          <w:i/>
        </w:rPr>
        <w:t>et al</w:t>
      </w:r>
      <w:r w:rsidR="00E23CBC" w:rsidRPr="00092FC6">
        <w:t xml:space="preserve">., </w:t>
      </w:r>
      <w:r w:rsidR="00CE4F13" w:rsidRPr="00092FC6">
        <w:t>2012</w:t>
      </w:r>
      <w:r w:rsidR="000D432B" w:rsidRPr="00092FC6">
        <w:t xml:space="preserve">). </w:t>
      </w:r>
      <w:r w:rsidR="0078444A" w:rsidRPr="00092FC6">
        <w:t>The envelope protein of EEE</w:t>
      </w:r>
      <w:r w:rsidR="00004619" w:rsidRPr="00092FC6">
        <w:t xml:space="preserve"> virus</w:t>
      </w:r>
      <w:r w:rsidR="0078444A" w:rsidRPr="00092FC6">
        <w:t xml:space="preserve"> is targeted in IHC. </w:t>
      </w:r>
      <w:r w:rsidR="0018586B" w:rsidRPr="00092FC6">
        <w:t xml:space="preserve">Necrotic and inflamed areas of the brain are examined. In </w:t>
      </w:r>
      <w:r w:rsidR="00675184" w:rsidRPr="00092FC6">
        <w:t>EEE virus</w:t>
      </w:r>
      <w:r w:rsidR="0018586B" w:rsidRPr="00092FC6">
        <w:t xml:space="preserve"> infected horses, p</w:t>
      </w:r>
      <w:r w:rsidR="0078444A" w:rsidRPr="00092FC6">
        <w:t xml:space="preserve">ositive staining is observed </w:t>
      </w:r>
      <w:r w:rsidR="0018586B" w:rsidRPr="00092FC6">
        <w:t xml:space="preserve">most notably </w:t>
      </w:r>
      <w:r w:rsidR="0078444A" w:rsidRPr="00092FC6">
        <w:t>in neurons and associated dendritic processes</w:t>
      </w:r>
      <w:r w:rsidR="0018586B" w:rsidRPr="00092FC6">
        <w:t>.</w:t>
      </w:r>
      <w:r w:rsidR="0078444A" w:rsidRPr="00092FC6">
        <w:t xml:space="preserve"> </w:t>
      </w:r>
      <w:r w:rsidR="00C73B3D" w:rsidRPr="00092FC6">
        <w:t xml:space="preserve">However, </w:t>
      </w:r>
      <w:r w:rsidR="00C73B3D" w:rsidRPr="00092FC6">
        <w:rPr>
          <w:lang w:val="en-IE"/>
        </w:rPr>
        <w:t>failure to identify viral antigen in equine central nervous system does not rule out infection.</w:t>
      </w:r>
    </w:p>
    <w:p w14:paraId="4EF3F927" w14:textId="77777777" w:rsidR="001B68A1" w:rsidRPr="00092FC6" w:rsidRDefault="001B68A1" w:rsidP="001B68A1">
      <w:pPr>
        <w:pStyle w:val="1"/>
      </w:pPr>
      <w:r w:rsidRPr="00092FC6">
        <w:t>2.</w:t>
      </w:r>
      <w:r w:rsidRPr="00092FC6">
        <w:rPr>
          <w:b w:val="0"/>
        </w:rPr>
        <w:tab/>
      </w:r>
      <w:r w:rsidRPr="00092FC6">
        <w:t>Serological tests</w:t>
      </w:r>
    </w:p>
    <w:p w14:paraId="00AA1A20" w14:textId="6D17C75C" w:rsidR="001B68A1" w:rsidRPr="00092FC6" w:rsidRDefault="001B68A1" w:rsidP="005133EE">
      <w:pPr>
        <w:pStyle w:val="para1"/>
      </w:pPr>
      <w:r w:rsidRPr="00092FC6">
        <w:t>Serological confirmation of EEE or WEE virus infection requires a four-fold or greater increase or decrease in antibody titre in paired serum samples collected 10–14</w:t>
      </w:r>
      <w:r w:rsidR="005133EE" w:rsidRPr="00092FC6">
        <w:t> </w:t>
      </w:r>
      <w:r w:rsidRPr="00092FC6">
        <w:t>days apart. Most horses</w:t>
      </w:r>
      <w:r w:rsidR="005236D6" w:rsidRPr="00092FC6">
        <w:t xml:space="preserve"> </w:t>
      </w:r>
      <w:r w:rsidRPr="00092FC6">
        <w:t xml:space="preserve">infected with EEE </w:t>
      </w:r>
      <w:r w:rsidR="005236D6" w:rsidRPr="00092FC6">
        <w:t>or</w:t>
      </w:r>
      <w:r w:rsidRPr="00092FC6">
        <w:t xml:space="preserve"> WEE virus have a high antibody titre when clinical disease is observed. Consequently, a presumptive diagnosis can be made if an unvaccinated horse with appropriate clinical signs has antibody against only EEE or WEE virus.</w:t>
      </w:r>
      <w:r w:rsidR="00CD5C91">
        <w:t xml:space="preserve"> </w:t>
      </w:r>
      <w:r w:rsidR="00CD5C91" w:rsidRPr="00CD5C91">
        <w:rPr>
          <w:u w:val="double"/>
        </w:rPr>
        <w:t>I</w:t>
      </w:r>
      <w:r w:rsidR="00CD5C91">
        <w:rPr>
          <w:u w:val="double"/>
        </w:rPr>
        <w:t>n</w:t>
      </w:r>
      <w:r w:rsidR="00CD5C91" w:rsidRPr="00CD5C91">
        <w:rPr>
          <w:u w:val="double"/>
        </w:rPr>
        <w:t xml:space="preserve"> contrast to EEE and WEE</w:t>
      </w:r>
      <w:r w:rsidR="00CD5C91">
        <w:rPr>
          <w:u w:val="double"/>
        </w:rPr>
        <w:t xml:space="preserve"> infection</w:t>
      </w:r>
      <w:r w:rsidR="00CD5C91" w:rsidRPr="00CD5C91">
        <w:rPr>
          <w:u w:val="double"/>
        </w:rPr>
        <w:t>,</w:t>
      </w:r>
      <w:r w:rsidR="00CD5C91">
        <w:rPr>
          <w:u w:val="double"/>
        </w:rPr>
        <w:t xml:space="preserve"> onset of clinical signs and subsequent IgG antibody production against VEE virus occurs early post-infection. Development of encephalitis is variable, thus some neurologic horses may not exhibit a four-fold or greater increase in antibody titre in paired sera. Serum should be collected at onset of clinical signs and repeated in five to </w:t>
      </w:r>
      <w:r w:rsidR="00082725">
        <w:rPr>
          <w:u w:val="double"/>
        </w:rPr>
        <w:t>nine</w:t>
      </w:r>
      <w:r w:rsidR="00CD5C91">
        <w:rPr>
          <w:u w:val="double"/>
        </w:rPr>
        <w:t xml:space="preserve"> days for comparison.</w:t>
      </w:r>
      <w:r w:rsidR="00CD5C91" w:rsidRPr="007F14E4">
        <w:t xml:space="preserve"> </w:t>
      </w:r>
      <w:r w:rsidRPr="00092FC6">
        <w:t xml:space="preserve">The detection of IgM antibody by the ELISA can </w:t>
      </w:r>
      <w:r w:rsidR="00D54612" w:rsidRPr="00092FC6">
        <w:t>be suggestive for an</w:t>
      </w:r>
      <w:r w:rsidRPr="00092FC6">
        <w:t xml:space="preserve"> acute infection</w:t>
      </w:r>
      <w:r w:rsidR="00D54612" w:rsidRPr="00092FC6">
        <w:t xml:space="preserve"> or a recent exposure to the virus</w:t>
      </w:r>
      <w:r w:rsidR="00B04614" w:rsidRPr="00B04614">
        <w:rPr>
          <w:u w:val="double"/>
        </w:rPr>
        <w:t>, including recent vaccination,</w:t>
      </w:r>
      <w:r w:rsidR="00D54612" w:rsidRPr="00092FC6">
        <w:t xml:space="preserve"> therefore interpretation of serologic</w:t>
      </w:r>
      <w:r w:rsidR="008E3793" w:rsidRPr="00092FC6">
        <w:t>al</w:t>
      </w:r>
      <w:r w:rsidR="00D54612" w:rsidRPr="00092FC6">
        <w:t xml:space="preserve"> findings must be done in conjunction with clinical signs and </w:t>
      </w:r>
      <w:r w:rsidR="006B62B3" w:rsidRPr="006B62B3">
        <w:rPr>
          <w:u w:val="double"/>
        </w:rPr>
        <w:t>the</w:t>
      </w:r>
      <w:r w:rsidR="006B62B3">
        <w:t xml:space="preserve"> </w:t>
      </w:r>
      <w:r w:rsidR="00D54612" w:rsidRPr="00092FC6">
        <w:t>epizootic situation</w:t>
      </w:r>
      <w:r w:rsidRPr="00092FC6">
        <w:t xml:space="preserve"> (</w:t>
      </w:r>
      <w:r w:rsidR="00E23CBC" w:rsidRPr="00092FC6">
        <w:t xml:space="preserve">Sahu </w:t>
      </w:r>
      <w:r w:rsidR="00E23CBC" w:rsidRPr="00092FC6">
        <w:rPr>
          <w:i/>
        </w:rPr>
        <w:t>et al</w:t>
      </w:r>
      <w:r w:rsidR="00E23CBC" w:rsidRPr="00092FC6">
        <w:t>., 1994</w:t>
      </w:r>
      <w:r w:rsidRPr="00092FC6">
        <w:t xml:space="preserve">). </w:t>
      </w:r>
      <w:r w:rsidR="00D54612" w:rsidRPr="00092FC6">
        <w:t>Vaccination history must</w:t>
      </w:r>
      <w:r w:rsidR="00D54612" w:rsidRPr="00A36EE1">
        <w:rPr>
          <w:strike/>
        </w:rPr>
        <w:t xml:space="preserve"> also</w:t>
      </w:r>
      <w:r w:rsidR="00D54612" w:rsidRPr="00092FC6">
        <w:t xml:space="preserve"> be taken into account when interpreting results of any serological tests, particularly the PRN or virus neutrali</w:t>
      </w:r>
      <w:r w:rsidR="00675184" w:rsidRPr="00092FC6">
        <w:t>s</w:t>
      </w:r>
      <w:r w:rsidR="00D54612" w:rsidRPr="00092FC6">
        <w:t xml:space="preserve">ation (VN) tests. </w:t>
      </w:r>
      <w:r w:rsidR="00082725" w:rsidRPr="00082725">
        <w:rPr>
          <w:u w:val="double"/>
        </w:rPr>
        <w:t xml:space="preserve">Although enzootic </w:t>
      </w:r>
      <w:r w:rsidR="00082725">
        <w:rPr>
          <w:u w:val="double"/>
        </w:rPr>
        <w:t xml:space="preserve">VEE </w:t>
      </w:r>
      <w:r w:rsidR="00082725" w:rsidRPr="00082725">
        <w:rPr>
          <w:u w:val="double"/>
        </w:rPr>
        <w:t>subtypes and variants are non-pathogenic for equids, infection will stimulate</w:t>
      </w:r>
      <w:r w:rsidR="00082725">
        <w:rPr>
          <w:u w:val="double"/>
        </w:rPr>
        <w:t xml:space="preserve"> antibody production that can cross-</w:t>
      </w:r>
      <w:r w:rsidR="00082725" w:rsidRPr="00082725">
        <w:rPr>
          <w:u w:val="double"/>
        </w:rPr>
        <w:t>react on diagnostic tests with epizootic VEE virus variants</w:t>
      </w:r>
      <w:r w:rsidR="00082725">
        <w:rPr>
          <w:u w:val="double"/>
        </w:rPr>
        <w:t>.</w:t>
      </w:r>
      <w:r w:rsidR="00082725" w:rsidRPr="007F14E4">
        <w:t xml:space="preserve"> </w:t>
      </w:r>
      <w:r w:rsidR="00D54612" w:rsidRPr="00092FC6">
        <w:t>Furthermore,</w:t>
      </w:r>
      <w:r w:rsidRPr="00092FC6">
        <w:t xml:space="preserve"> </w:t>
      </w:r>
      <w:r w:rsidR="00D54612" w:rsidRPr="00092FC6">
        <w:t>t</w:t>
      </w:r>
      <w:r w:rsidRPr="00092FC6">
        <w:t xml:space="preserve">here </w:t>
      </w:r>
      <w:r w:rsidR="007B3C30" w:rsidRPr="00092FC6">
        <w:t>may be</w:t>
      </w:r>
      <w:r w:rsidRPr="00092FC6">
        <w:t xml:space="preserve"> cross-reactions between antibody against EEE and WEE virus in </w:t>
      </w:r>
      <w:r w:rsidR="00D54612" w:rsidRPr="00092FC6">
        <w:t>such tests as complement fixation</w:t>
      </w:r>
      <w:r w:rsidRPr="00092FC6">
        <w:t xml:space="preserve"> </w:t>
      </w:r>
      <w:r w:rsidR="00D54612" w:rsidRPr="00092FC6">
        <w:t>(</w:t>
      </w:r>
      <w:r w:rsidRPr="00092FC6">
        <w:t>CF</w:t>
      </w:r>
      <w:r w:rsidR="00D54612" w:rsidRPr="00092FC6">
        <w:t>)</w:t>
      </w:r>
      <w:r w:rsidRPr="00092FC6">
        <w:t xml:space="preserve"> and </w:t>
      </w:r>
      <w:r w:rsidR="00D54612" w:rsidRPr="00092FC6">
        <w:t>haemagglutination inhibition (</w:t>
      </w:r>
      <w:r w:rsidRPr="00092FC6">
        <w:t>HI</w:t>
      </w:r>
      <w:r w:rsidR="00D54612" w:rsidRPr="00092FC6">
        <w:t>)</w:t>
      </w:r>
      <w:r w:rsidRPr="00092FC6">
        <w:t xml:space="preserve"> tests. CF antibod</w:t>
      </w:r>
      <w:r w:rsidR="00D54612" w:rsidRPr="00092FC6">
        <w:t>ies</w:t>
      </w:r>
      <w:r w:rsidRPr="00092FC6">
        <w:t xml:space="preserve"> against both EEE and WEE viruses appear later and do not persist; consequently, </w:t>
      </w:r>
      <w:r w:rsidR="006B62B3" w:rsidRPr="006B62B3">
        <w:rPr>
          <w:u w:val="double"/>
        </w:rPr>
        <w:t>the</w:t>
      </w:r>
      <w:r w:rsidR="006B62B3">
        <w:t xml:space="preserve"> </w:t>
      </w:r>
      <w:r w:rsidR="00D54612" w:rsidRPr="00092FC6">
        <w:t>CF test</w:t>
      </w:r>
      <w:r w:rsidRPr="00092FC6">
        <w:t xml:space="preserve"> is less useful for the serological diagnosis of disease.</w:t>
      </w:r>
    </w:p>
    <w:p w14:paraId="18B8EE08" w14:textId="61246023" w:rsidR="001B68A1" w:rsidRPr="00092FC6" w:rsidRDefault="008D31A6" w:rsidP="007932E8">
      <w:pPr>
        <w:pStyle w:val="11"/>
      </w:pPr>
      <w:r w:rsidRPr="00092FC6">
        <w:t>2.1.</w:t>
      </w:r>
      <w:r w:rsidR="001B68A1" w:rsidRPr="00092FC6">
        <w:tab/>
        <w:t>Complement fixation</w:t>
      </w:r>
    </w:p>
    <w:p w14:paraId="0990696D" w14:textId="77777777" w:rsidR="001B68A1" w:rsidRPr="00092FC6" w:rsidRDefault="001B68A1" w:rsidP="007932E8">
      <w:pPr>
        <w:pStyle w:val="11Para"/>
      </w:pPr>
      <w:r w:rsidRPr="00092FC6">
        <w:t>The CF test is frequently used for the demonstration of antibodies, although the antibodies detected by the CF test may not persist for as long as those detected by the HI or PRN tests. A sucrose/acetone mouse brain extract is commonly used as antigen. The positive antigen is inactivated by treatment with 0.1% beta-propiolactone.</w:t>
      </w:r>
    </w:p>
    <w:p w14:paraId="04292247" w14:textId="77777777" w:rsidR="001B68A1" w:rsidRPr="00092FC6" w:rsidRDefault="001B68A1" w:rsidP="007932E8">
      <w:pPr>
        <w:pStyle w:val="11Para"/>
      </w:pPr>
      <w:r w:rsidRPr="00092FC6">
        <w:t xml:space="preserve">In the absence of an international standard serum, the antigen should be titrated against a locally prepared positive control serum. The normal antigen, or control antigen, is mouse brain </w:t>
      </w:r>
      <w:r w:rsidR="00AF24AD" w:rsidRPr="00092FC6">
        <w:t xml:space="preserve">from uninoculated mice </w:t>
      </w:r>
      <w:r w:rsidRPr="00092FC6">
        <w:t>similarly extracted and diluted.</w:t>
      </w:r>
    </w:p>
    <w:p w14:paraId="3914A4F2" w14:textId="28DB4BD7" w:rsidR="001B68A1" w:rsidRPr="00092FC6" w:rsidRDefault="001B68A1" w:rsidP="007932E8">
      <w:pPr>
        <w:pStyle w:val="11Para"/>
      </w:pPr>
      <w:r w:rsidRPr="00092FC6">
        <w:t>Sera are diluted 1/4 in veronal buffered saline containing 1% gelatin (VBSG), and inactivated at 56°C for 30 minutes. Titrations of positive sera may be performed using additional twofold dilutions. The CF antigens and control antigen (normal mouse brain) are diluted in VBSG to their optimal amount of fixation as determined by titration against the positive sera; guinea</w:t>
      </w:r>
      <w:r w:rsidR="005133EE" w:rsidRPr="00092FC6">
        <w:t>-</w:t>
      </w:r>
      <w:r w:rsidRPr="00092FC6">
        <w:t>pig complement is diluted in VBSG to contain 5 complement haemolytic units-50% (</w:t>
      </w:r>
      <w:r w:rsidR="00C027D8" w:rsidRPr="00092FC6">
        <w:t>CH</w:t>
      </w:r>
      <w:r w:rsidR="00C027D8" w:rsidRPr="00092FC6">
        <w:rPr>
          <w:vertAlign w:val="subscript"/>
        </w:rPr>
        <w:t>50</w:t>
      </w:r>
      <w:r w:rsidRPr="00092FC6">
        <w:t>). Sera, antigen, and complement are reacted in 96-well round-bottom microtitre plates at 4°C for 18 hours. The sheep red blood cells (SRBCs) are standardised to 2.8% concentration. Haemolysin is titrated to determine the optimal dilution for the lot of complement used. Haemolysin is used to sensitise 2.8% SRBCs and the sensitised cells are added to all wells on the microtitre plate. The test is incubated for 30</w:t>
      </w:r>
      <w:r w:rsidR="005133EE" w:rsidRPr="00092FC6">
        <w:t> </w:t>
      </w:r>
      <w:r w:rsidRPr="00092FC6">
        <w:t>minutes at 37°C. The plates are then centrifuged (200</w:t>
      </w:r>
      <w:r w:rsidR="005133EE" w:rsidRPr="00092FC6">
        <w:t> </w:t>
      </w:r>
      <w:r w:rsidRPr="00092FC6">
        <w:rPr>
          <w:b/>
          <w:i/>
        </w:rPr>
        <w:t>g</w:t>
      </w:r>
      <w:r w:rsidRPr="00092FC6">
        <w:t>), and the wells are scored for the presence of haemolysis. The following controls are used: (a) serum and control serum each with 5</w:t>
      </w:r>
      <w:r w:rsidR="005133EE" w:rsidRPr="00092FC6">
        <w:t> </w:t>
      </w:r>
      <w:r w:rsidR="00C027D8" w:rsidRPr="00092FC6">
        <w:t>CH</w:t>
      </w:r>
      <w:r w:rsidR="00C027D8" w:rsidRPr="00092FC6">
        <w:rPr>
          <w:vertAlign w:val="subscript"/>
        </w:rPr>
        <w:t>50</w:t>
      </w:r>
      <w:r w:rsidRPr="00092FC6">
        <w:t xml:space="preserve"> and 2.5</w:t>
      </w:r>
      <w:r w:rsidR="005133EE" w:rsidRPr="00092FC6">
        <w:t> </w:t>
      </w:r>
      <w:r w:rsidR="00C027D8" w:rsidRPr="00092FC6">
        <w:t>CH</w:t>
      </w:r>
      <w:r w:rsidR="00C027D8" w:rsidRPr="00092FC6">
        <w:rPr>
          <w:vertAlign w:val="subscript"/>
        </w:rPr>
        <w:t>50</w:t>
      </w:r>
      <w:r w:rsidRPr="00092FC6">
        <w:t xml:space="preserve"> of complement; (b) CF antigen </w:t>
      </w:r>
      <w:r w:rsidRPr="00092FC6">
        <w:lastRenderedPageBreak/>
        <w:t xml:space="preserve">and control antigen each with 5 </w:t>
      </w:r>
      <w:r w:rsidR="00C027D8" w:rsidRPr="00092FC6">
        <w:t>CH</w:t>
      </w:r>
      <w:r w:rsidR="00C027D8" w:rsidRPr="00092FC6">
        <w:rPr>
          <w:vertAlign w:val="subscript"/>
        </w:rPr>
        <w:t>50</w:t>
      </w:r>
      <w:r w:rsidRPr="00092FC6">
        <w:t>, and 2.5</w:t>
      </w:r>
      <w:r w:rsidR="005133EE" w:rsidRPr="00092FC6">
        <w:t> </w:t>
      </w:r>
      <w:r w:rsidR="00C027D8" w:rsidRPr="00092FC6">
        <w:t>CH</w:t>
      </w:r>
      <w:r w:rsidR="00C027D8" w:rsidRPr="00092FC6">
        <w:rPr>
          <w:vertAlign w:val="subscript"/>
        </w:rPr>
        <w:t>50</w:t>
      </w:r>
      <w:r w:rsidRPr="00092FC6">
        <w:t xml:space="preserve"> of complement; (c) complement dilutions of 5</w:t>
      </w:r>
      <w:r w:rsidR="005133EE" w:rsidRPr="00092FC6">
        <w:t> </w:t>
      </w:r>
      <w:r w:rsidR="00C027D8" w:rsidRPr="00092FC6">
        <w:t>CH</w:t>
      </w:r>
      <w:r w:rsidR="00C027D8" w:rsidRPr="00092FC6">
        <w:rPr>
          <w:vertAlign w:val="subscript"/>
        </w:rPr>
        <w:t>50</w:t>
      </w:r>
      <w:r w:rsidRPr="00092FC6">
        <w:t>, 2.5</w:t>
      </w:r>
      <w:r w:rsidR="005133EE" w:rsidRPr="00092FC6">
        <w:t> </w:t>
      </w:r>
      <w:r w:rsidR="00C027D8" w:rsidRPr="00092FC6">
        <w:t>CH</w:t>
      </w:r>
      <w:r w:rsidR="00C027D8" w:rsidRPr="00092FC6">
        <w:rPr>
          <w:vertAlign w:val="subscript"/>
        </w:rPr>
        <w:t>50</w:t>
      </w:r>
      <w:r w:rsidRPr="00092FC6">
        <w:t>, and 1.25</w:t>
      </w:r>
      <w:r w:rsidR="005133EE" w:rsidRPr="00092FC6">
        <w:t> </w:t>
      </w:r>
      <w:r w:rsidR="00C027D8" w:rsidRPr="00092FC6">
        <w:t>CH</w:t>
      </w:r>
      <w:r w:rsidR="00C027D8" w:rsidRPr="00092FC6">
        <w:rPr>
          <w:vertAlign w:val="subscript"/>
        </w:rPr>
        <w:t>50</w:t>
      </w:r>
      <w:r w:rsidRPr="00092FC6">
        <w:t xml:space="preserve">; and (d) cell control wells with only SRBCs and VBSG diluent. These controls test for anticomplementary </w:t>
      </w:r>
      <w:r w:rsidR="00B70DF0" w:rsidRPr="00092FC6">
        <w:t>serum</w:t>
      </w:r>
      <w:r w:rsidR="00583F9B" w:rsidRPr="00583F9B">
        <w:rPr>
          <w:u w:val="double"/>
        </w:rPr>
        <w:t>,</w:t>
      </w:r>
      <w:r w:rsidR="00DC2B16" w:rsidRPr="00092FC6">
        <w:t xml:space="preserve"> </w:t>
      </w:r>
      <w:r w:rsidR="00DC2B16" w:rsidRPr="00583F9B">
        <w:rPr>
          <w:strike/>
        </w:rPr>
        <w:t>and</w:t>
      </w:r>
      <w:r w:rsidRPr="00583F9B">
        <w:rPr>
          <w:strike/>
        </w:rPr>
        <w:t xml:space="preserve"> </w:t>
      </w:r>
      <w:r w:rsidRPr="00092FC6">
        <w:t xml:space="preserve">anticomplementary </w:t>
      </w:r>
      <w:r w:rsidR="00B70DF0" w:rsidRPr="00092FC6">
        <w:t>antigen</w:t>
      </w:r>
      <w:r w:rsidRPr="00092FC6">
        <w:t>, activity of complement used in the test, and integrity of the SRBC indicator system in the absence of complement, respectively.</w:t>
      </w:r>
    </w:p>
    <w:p w14:paraId="68089B03" w14:textId="7C393BE9" w:rsidR="001B68A1" w:rsidRPr="00092FC6" w:rsidRDefault="001B68A1" w:rsidP="007932E8">
      <w:pPr>
        <w:pStyle w:val="11Para"/>
      </w:pPr>
      <w:r w:rsidRPr="00092FC6">
        <w:t>To avoid anticomplementary effects, sera should be separated from the blood as soon as possible</w:t>
      </w:r>
      <w:r w:rsidR="00583F9B">
        <w:t xml:space="preserve"> </w:t>
      </w:r>
      <w:r w:rsidR="00583F9B">
        <w:rPr>
          <w:u w:val="double"/>
        </w:rPr>
        <w:t>after collection and appropriate clotting has occurred</w:t>
      </w:r>
      <w:r w:rsidRPr="00092FC6">
        <w:t>. Positive and negative control sera should be used in the test.</w:t>
      </w:r>
    </w:p>
    <w:p w14:paraId="2D2FA200" w14:textId="282E6789" w:rsidR="001B68A1" w:rsidRPr="00092FC6" w:rsidRDefault="008D31A6" w:rsidP="007932E8">
      <w:pPr>
        <w:pStyle w:val="11"/>
      </w:pPr>
      <w:r w:rsidRPr="00092FC6">
        <w:t>2.2.</w:t>
      </w:r>
      <w:r w:rsidR="001B68A1" w:rsidRPr="00092FC6">
        <w:tab/>
        <w:t>Haemagglutination inhibition</w:t>
      </w:r>
    </w:p>
    <w:p w14:paraId="1766A0A9" w14:textId="77777777" w:rsidR="001B68A1" w:rsidRPr="00092FC6" w:rsidRDefault="001B68A1" w:rsidP="007932E8">
      <w:pPr>
        <w:pStyle w:val="11Para"/>
      </w:pPr>
      <w:r w:rsidRPr="00092FC6">
        <w:t>The antigen for the HI test is the same as described above for the CF test. The antigen is diluted so that the amount used in each haemagglutinating unit (HAU) is from four to eight times that which agglutinates 50% of the RBCs in the test system. The haemagglutination titre and optimum pH for each antigen are determined with goose RBCs diluted in pH solutions ranging from pH</w:t>
      </w:r>
      <w:r w:rsidR="005133EE" w:rsidRPr="00092FC6">
        <w:t> </w:t>
      </w:r>
      <w:r w:rsidRPr="00092FC6">
        <w:t>5.8 to pH</w:t>
      </w:r>
      <w:r w:rsidR="005133EE" w:rsidRPr="00092FC6">
        <w:t> </w:t>
      </w:r>
      <w:r w:rsidRPr="00092FC6">
        <w:t>6.6, at 0.2</w:t>
      </w:r>
      <w:r w:rsidR="005133EE" w:rsidRPr="00092FC6">
        <w:t> </w:t>
      </w:r>
      <w:r w:rsidRPr="00092FC6">
        <w:t>intervals.</w:t>
      </w:r>
    </w:p>
    <w:p w14:paraId="572E31E2" w14:textId="289AD9B7" w:rsidR="001B68A1" w:rsidRPr="00092FC6" w:rsidRDefault="00DC5930" w:rsidP="007932E8">
      <w:pPr>
        <w:pStyle w:val="11Para"/>
      </w:pPr>
      <w:r w:rsidRPr="00092FC6">
        <w:t>Sera are diluted 1:</w:t>
      </w:r>
      <w:r w:rsidR="001B68A1" w:rsidRPr="00092FC6">
        <w:t>10 in borate saline, pH</w:t>
      </w:r>
      <w:r w:rsidR="005133EE" w:rsidRPr="00092FC6">
        <w:t> </w:t>
      </w:r>
      <w:r w:rsidR="001B68A1" w:rsidRPr="00092FC6">
        <w:t>9.0, and then inactivated at 56°C for 30</w:t>
      </w:r>
      <w:r w:rsidR="005133EE" w:rsidRPr="00092FC6">
        <w:t> </w:t>
      </w:r>
      <w:r w:rsidR="001B68A1" w:rsidRPr="00092FC6">
        <w:t xml:space="preserve">minutes. Kaolin treatment is used to remove nonspecific serum inhibitors. </w:t>
      </w:r>
      <w:r w:rsidR="003F4872" w:rsidRPr="00092FC6">
        <w:t>Alternatively, nonspecific inhibitors may be removed by acetone treatment of serum diluted 1</w:t>
      </w:r>
      <w:r w:rsidR="002C195A" w:rsidRPr="00092FC6">
        <w:t>:</w:t>
      </w:r>
      <w:r w:rsidR="003F4872" w:rsidRPr="00092FC6">
        <w:t xml:space="preserve">10 in PBS followed by reconstitution in borate saline. </w:t>
      </w:r>
      <w:r w:rsidR="001B68A1" w:rsidRPr="00092FC6">
        <w:t>Sera should be absorbed before use by incubation with a 0.05 ml volume of washed packed goose RBCs for 20</w:t>
      </w:r>
      <w:r w:rsidR="005133EE" w:rsidRPr="00092FC6">
        <w:t> </w:t>
      </w:r>
      <w:r w:rsidR="001B68A1" w:rsidRPr="00092FC6">
        <w:t>minutes at 4°C.</w:t>
      </w:r>
    </w:p>
    <w:p w14:paraId="223C97AD" w14:textId="1EABA38A" w:rsidR="001B68A1" w:rsidRPr="00092FC6" w:rsidRDefault="001B68A1" w:rsidP="007932E8">
      <w:pPr>
        <w:pStyle w:val="11Para"/>
      </w:pPr>
      <w:r w:rsidRPr="00092FC6">
        <w:t>Following heat inactivation, kaolin treatment and absorption, twofold dilutions of the treated serum are prepared in borate saline, pH</w:t>
      </w:r>
      <w:r w:rsidR="005133EE" w:rsidRPr="00092FC6">
        <w:t> </w:t>
      </w:r>
      <w:r w:rsidRPr="00092FC6">
        <w:t>9.0 with 0.4% bovalbumin. Serum dilutions (0.025</w:t>
      </w:r>
      <w:r w:rsidR="005133EE" w:rsidRPr="00092FC6">
        <w:t> </w:t>
      </w:r>
      <w:r w:rsidRPr="00092FC6">
        <w:t>ml/well) are prepared in a 96-well round-bottom microtitre plate in twofold dilutions in borate saline, pH</w:t>
      </w:r>
      <w:r w:rsidR="005133EE" w:rsidRPr="00092FC6">
        <w:t> </w:t>
      </w:r>
      <w:r w:rsidRPr="00092FC6">
        <w:t>9.0, with 0.4% bovalbumin. Antigen (0.025</w:t>
      </w:r>
      <w:r w:rsidR="005133EE" w:rsidRPr="00092FC6">
        <w:t> </w:t>
      </w:r>
      <w:r w:rsidRPr="00092FC6">
        <w:t>ml/well) is added to the serum. Plates are incubated at 4°C overnight. RBCs are derived from normal white male geese</w:t>
      </w:r>
      <w:r w:rsidR="00C027D8" w:rsidRPr="00092FC6">
        <w:rPr>
          <w:rStyle w:val="Appelnotedebasdep"/>
        </w:rPr>
        <w:footnoteReference w:id="6"/>
      </w:r>
      <w:r w:rsidRPr="00092FC6">
        <w:t xml:space="preserve"> and washed three times in dextrose/gelatin/veronal (DGV), and a 7.0% suspension is prepared in DGV. The 7.0% suspension is then diluted 1</w:t>
      </w:r>
      <w:r w:rsidR="00DC5930" w:rsidRPr="00092FC6">
        <w:t>:</w:t>
      </w:r>
      <w:r w:rsidRPr="00092FC6">
        <w:t>24 in the appropriate pH solution, and 0.05</w:t>
      </w:r>
      <w:r w:rsidR="005133EE" w:rsidRPr="00092FC6">
        <w:t> </w:t>
      </w:r>
      <w:r w:rsidRPr="00092FC6">
        <w:t>ml per well is added immediately to the plates. Plates are incubated for 30</w:t>
      </w:r>
      <w:r w:rsidR="005133EE" w:rsidRPr="00092FC6">
        <w:t> </w:t>
      </w:r>
      <w:r w:rsidRPr="00092FC6">
        <w:t>minutes at 37°C. Positive and negative control sera are incorporated into each test. A test is considered to be valid only if the control sera give the expected results. Titres of 1</w:t>
      </w:r>
      <w:r w:rsidR="00DC5930" w:rsidRPr="00092FC6">
        <w:t>:10 and 1:</w:t>
      </w:r>
      <w:r w:rsidRPr="00092FC6">
        <w:t>20 are suspect, and titres of 1</w:t>
      </w:r>
      <w:r w:rsidR="00DC5930" w:rsidRPr="00092FC6">
        <w:t>:</w:t>
      </w:r>
      <w:r w:rsidRPr="00092FC6">
        <w:t>40 and above are positive.</w:t>
      </w:r>
    </w:p>
    <w:p w14:paraId="099382E5" w14:textId="0315C284" w:rsidR="001B68A1" w:rsidRPr="00092FC6" w:rsidRDefault="008D31A6" w:rsidP="007932E8">
      <w:pPr>
        <w:pStyle w:val="11"/>
      </w:pPr>
      <w:r w:rsidRPr="00092FC6">
        <w:t>2.3.</w:t>
      </w:r>
      <w:r w:rsidR="001B68A1" w:rsidRPr="00092FC6">
        <w:tab/>
        <w:t>Enzyme-linked immunosorbent assay</w:t>
      </w:r>
    </w:p>
    <w:p w14:paraId="12051FB0" w14:textId="70519DF6" w:rsidR="00C73B3D" w:rsidRPr="00092FC6" w:rsidRDefault="00C73B3D" w:rsidP="008D31A6">
      <w:pPr>
        <w:pStyle w:val="11Para"/>
      </w:pPr>
      <w:r w:rsidRPr="00092FC6">
        <w:t xml:space="preserve">Several kits for IgM detection from equine specimens are </w:t>
      </w:r>
      <w:r w:rsidR="00583F9B" w:rsidRPr="00583F9B">
        <w:rPr>
          <w:u w:val="double"/>
        </w:rPr>
        <w:t>commercially</w:t>
      </w:r>
      <w:r w:rsidR="00583F9B" w:rsidRPr="00092FC6">
        <w:t xml:space="preserve"> </w:t>
      </w:r>
      <w:r w:rsidR="008E3793" w:rsidRPr="00092FC6">
        <w:t>available</w:t>
      </w:r>
      <w:r w:rsidR="008E3793" w:rsidRPr="00583F9B">
        <w:rPr>
          <w:strike/>
        </w:rPr>
        <w:t xml:space="preserve"> </w:t>
      </w:r>
      <w:r w:rsidRPr="00583F9B">
        <w:rPr>
          <w:strike/>
        </w:rPr>
        <w:t>commercially</w:t>
      </w:r>
      <w:r w:rsidRPr="00092FC6">
        <w:t xml:space="preserve">. </w:t>
      </w:r>
      <w:r w:rsidR="001B68A1" w:rsidRPr="00092FC6">
        <w:t>The ELISA is performed by coating flat-bottomed plates with anti-equine IgM capture antibody (</w:t>
      </w:r>
      <w:r w:rsidR="00E23CBC" w:rsidRPr="00092FC6">
        <w:t xml:space="preserve">Sahu </w:t>
      </w:r>
      <w:r w:rsidR="00E23CBC" w:rsidRPr="00092FC6">
        <w:rPr>
          <w:i/>
        </w:rPr>
        <w:t>et al</w:t>
      </w:r>
      <w:r w:rsidR="00E23CBC" w:rsidRPr="00092FC6">
        <w:t>., 1994</w:t>
      </w:r>
      <w:r w:rsidR="001B68A1" w:rsidRPr="00092FC6">
        <w:t xml:space="preserve">). </w:t>
      </w:r>
      <w:r w:rsidRPr="00092FC6">
        <w:t xml:space="preserve">The example below provides </w:t>
      </w:r>
      <w:r w:rsidR="008E3793" w:rsidRPr="00092FC6">
        <w:t xml:space="preserve">a </w:t>
      </w:r>
      <w:r w:rsidRPr="00092FC6">
        <w:t>generic description of the procedure</w:t>
      </w:r>
      <w:r w:rsidR="001B5E30" w:rsidRPr="00092FC6">
        <w:t>,</w:t>
      </w:r>
      <w:r w:rsidRPr="00092FC6">
        <w:t xml:space="preserve"> which may vary depending on</w:t>
      </w:r>
      <w:r w:rsidR="00C16613" w:rsidRPr="00092FC6">
        <w:t xml:space="preserve"> the recommendations developed by</w:t>
      </w:r>
      <w:r w:rsidRPr="00092FC6">
        <w:t xml:space="preserve"> manufacturer to achieve the optimum balance </w:t>
      </w:r>
      <w:r w:rsidR="00C16613" w:rsidRPr="00092FC6">
        <w:t>between</w:t>
      </w:r>
      <w:r w:rsidRPr="00092FC6">
        <w:t xml:space="preserve"> sensitivity</w:t>
      </w:r>
      <w:r w:rsidR="00C16613" w:rsidRPr="00092FC6">
        <w:t xml:space="preserve"> and </w:t>
      </w:r>
      <w:r w:rsidRPr="00092FC6">
        <w:t>specificity of the test.</w:t>
      </w:r>
    </w:p>
    <w:p w14:paraId="7B1143C2" w14:textId="38D7825D" w:rsidR="001B68A1" w:rsidRPr="00092FC6" w:rsidRDefault="001B68A1" w:rsidP="007932E8">
      <w:pPr>
        <w:pStyle w:val="11Para"/>
      </w:pPr>
      <w:r w:rsidRPr="00092FC6">
        <w:t>The</w:t>
      </w:r>
      <w:r w:rsidR="008A2075" w:rsidRPr="00092FC6">
        <w:t xml:space="preserve"> </w:t>
      </w:r>
      <w:r w:rsidR="008A2075" w:rsidRPr="00092FC6">
        <w:rPr>
          <w:lang w:val="en-IE"/>
        </w:rPr>
        <w:t xml:space="preserve">anti-equine IgM </w:t>
      </w:r>
      <w:r w:rsidR="008A2075" w:rsidRPr="00092FC6">
        <w:t xml:space="preserve">antibody </w:t>
      </w:r>
      <w:r w:rsidRPr="00092FC6">
        <w:t>is diluted in 0.5</w:t>
      </w:r>
      <w:r w:rsidR="005133EE" w:rsidRPr="00092FC6">
        <w:t> </w:t>
      </w:r>
      <w:r w:rsidRPr="00092FC6">
        <w:t>M carbonate buffer, pH</w:t>
      </w:r>
      <w:r w:rsidR="005133EE" w:rsidRPr="00092FC6">
        <w:t> </w:t>
      </w:r>
      <w:r w:rsidRPr="00092FC6">
        <w:t>9.6, and 50</w:t>
      </w:r>
      <w:r w:rsidR="001B5E30" w:rsidRPr="00092FC6">
        <w:t>–</w:t>
      </w:r>
      <w:r w:rsidR="008A2075" w:rsidRPr="00092FC6">
        <w:t>100</w:t>
      </w:r>
      <w:r w:rsidR="005133EE" w:rsidRPr="00092FC6">
        <w:t> </w:t>
      </w:r>
      <w:r w:rsidRPr="00092FC6">
        <w:t xml:space="preserve">µl </w:t>
      </w:r>
      <w:r w:rsidR="008A2075" w:rsidRPr="00092FC6">
        <w:t xml:space="preserve">of this solution </w:t>
      </w:r>
      <w:r w:rsidRPr="00092FC6">
        <w:t>is added to each well</w:t>
      </w:r>
      <w:r w:rsidR="008A2075" w:rsidRPr="00092FC6">
        <w:t xml:space="preserve"> of a 96-well plate</w:t>
      </w:r>
      <w:r w:rsidRPr="00092FC6">
        <w:t>. The plates are incubated at 37°C for 1</w:t>
      </w:r>
      <w:r w:rsidR="005133EE" w:rsidRPr="00092FC6">
        <w:t> </w:t>
      </w:r>
      <w:r w:rsidRPr="00092FC6">
        <w:t xml:space="preserve">hour, and then at 4°C overnight. Prior to use, the coated plates are washed </w:t>
      </w:r>
      <w:r w:rsidR="00AE7C27" w:rsidRPr="00092FC6">
        <w:t xml:space="preserve">three times </w:t>
      </w:r>
      <w:r w:rsidRPr="00092FC6">
        <w:t>with 200</w:t>
      </w:r>
      <w:r w:rsidR="00AE7C27" w:rsidRPr="00092FC6">
        <w:t>–300</w:t>
      </w:r>
      <w:r w:rsidR="005133EE" w:rsidRPr="00092FC6">
        <w:t> </w:t>
      </w:r>
      <w:r w:rsidRPr="00092FC6">
        <w:t>µl/well of 0.01</w:t>
      </w:r>
      <w:r w:rsidR="005133EE" w:rsidRPr="00092FC6">
        <w:t> </w:t>
      </w:r>
      <w:r w:rsidRPr="00092FC6">
        <w:t>M PBS containing 0.05% Tween</w:t>
      </w:r>
      <w:r w:rsidR="005133EE" w:rsidRPr="00092FC6">
        <w:t> </w:t>
      </w:r>
      <w:r w:rsidRPr="00092FC6">
        <w:t>20. After the second wash, 200</w:t>
      </w:r>
      <w:r w:rsidR="00FA1C86" w:rsidRPr="00092FC6">
        <w:t> </w:t>
      </w:r>
      <w:r w:rsidRPr="00092FC6">
        <w:t>µl/well of PBS/Tween/</w:t>
      </w:r>
      <w:r w:rsidR="00D97DD7" w:rsidRPr="00092FC6">
        <w:t xml:space="preserve">5% </w:t>
      </w:r>
      <w:r w:rsidR="00D54612" w:rsidRPr="00092FC6">
        <w:t>non-fat</w:t>
      </w:r>
      <w:r w:rsidR="00D97DD7" w:rsidRPr="00092FC6">
        <w:t xml:space="preserve"> dried milk</w:t>
      </w:r>
      <w:r w:rsidRPr="00092FC6">
        <w:t xml:space="preserve"> </w:t>
      </w:r>
      <w:r w:rsidR="008A2075" w:rsidRPr="00092FC6">
        <w:t xml:space="preserve">(or another blocking reagent) </w:t>
      </w:r>
      <w:r w:rsidRPr="00092FC6">
        <w:t xml:space="preserve">is added and the plates are incubated at </w:t>
      </w:r>
      <w:r w:rsidR="00D97DD7" w:rsidRPr="00092FC6">
        <w:t>room temperature for 1</w:t>
      </w:r>
      <w:r w:rsidR="005133EE" w:rsidRPr="00092FC6">
        <w:t> </w:t>
      </w:r>
      <w:r w:rsidR="00D97DD7" w:rsidRPr="00092FC6">
        <w:t>hour</w:t>
      </w:r>
      <w:r w:rsidRPr="00092FC6">
        <w:t>. Following incubation, the plates are washed a</w:t>
      </w:r>
      <w:r w:rsidR="00D97DD7" w:rsidRPr="00092FC6">
        <w:t>gain three times with PBS/Tween</w:t>
      </w:r>
      <w:r w:rsidRPr="00092FC6">
        <w:t>. Test and control sera are diluted 1/</w:t>
      </w:r>
      <w:r w:rsidR="003D69DE" w:rsidRPr="00092FC6">
        <w:t>4</w:t>
      </w:r>
      <w:r w:rsidRPr="00092FC6">
        <w:t>00 in 0.01</w:t>
      </w:r>
      <w:r w:rsidR="005133EE" w:rsidRPr="00092FC6">
        <w:t> </w:t>
      </w:r>
      <w:r w:rsidRPr="00092FC6">
        <w:t>M PBS, pH</w:t>
      </w:r>
      <w:r w:rsidR="005133EE" w:rsidRPr="00092FC6">
        <w:t> </w:t>
      </w:r>
      <w:r w:rsidRPr="00092FC6">
        <w:t>7.2, containing 0.05% Tween</w:t>
      </w:r>
      <w:r w:rsidR="005133EE" w:rsidRPr="00092FC6">
        <w:t> </w:t>
      </w:r>
      <w:r w:rsidRPr="00092FC6">
        <w:t>20, and 50</w:t>
      </w:r>
      <w:r w:rsidR="00D97DD7" w:rsidRPr="00092FC6">
        <w:t> </w:t>
      </w:r>
      <w:r w:rsidRPr="00092FC6">
        <w:t xml:space="preserve">µl is added to each well. The plates are incubated at 37°C for </w:t>
      </w:r>
      <w:r w:rsidR="00AE7C27" w:rsidRPr="00092FC6">
        <w:t>90</w:t>
      </w:r>
      <w:r w:rsidR="00A03FD2" w:rsidRPr="00092FC6">
        <w:t> </w:t>
      </w:r>
      <w:r w:rsidR="00AE7C27" w:rsidRPr="00092FC6">
        <w:t>minutes</w:t>
      </w:r>
      <w:r w:rsidRPr="00092FC6">
        <w:t xml:space="preserve"> and then washed three times. Next, 50</w:t>
      </w:r>
      <w:r w:rsidR="005133EE" w:rsidRPr="00092FC6">
        <w:t> </w:t>
      </w:r>
      <w:r w:rsidRPr="00092FC6">
        <w:t>µl of viral antigen is added to all wells.</w:t>
      </w:r>
      <w:r w:rsidR="00687985" w:rsidRPr="00092FC6">
        <w:t xml:space="preserve"> </w:t>
      </w:r>
      <w:r w:rsidRPr="00092FC6">
        <w:t xml:space="preserve">The plates are incubated </w:t>
      </w:r>
      <w:r w:rsidR="00687985" w:rsidRPr="00092FC6">
        <w:t>overnight at 4</w:t>
      </w:r>
      <w:r w:rsidRPr="00092FC6">
        <w:t xml:space="preserve">°C, and washed </w:t>
      </w:r>
      <w:r w:rsidR="00AE7C27" w:rsidRPr="00092FC6">
        <w:t xml:space="preserve">three </w:t>
      </w:r>
      <w:r w:rsidRPr="00092FC6">
        <w:t>times. Then, 50</w:t>
      </w:r>
      <w:r w:rsidR="005133EE" w:rsidRPr="00092FC6">
        <w:t> </w:t>
      </w:r>
      <w:r w:rsidRPr="00092FC6">
        <w:t xml:space="preserve">µl of horseradish-peroxidase-conjugated monoclonal antibody (MAb) to </w:t>
      </w:r>
      <w:r w:rsidR="008A2075" w:rsidRPr="00092FC6">
        <w:t>the viral antigen used</w:t>
      </w:r>
      <w:r w:rsidRPr="00092FC6">
        <w:t xml:space="preserve"> is added. The plates are incubated for </w:t>
      </w:r>
      <w:r w:rsidR="008A2075" w:rsidRPr="00092FC6">
        <w:t>60</w:t>
      </w:r>
      <w:r w:rsidR="001B5E30" w:rsidRPr="00092FC6">
        <w:t>–</w:t>
      </w:r>
      <w:r w:rsidR="00AE7C27" w:rsidRPr="00092FC6">
        <w:t>90 </w:t>
      </w:r>
      <w:r w:rsidRPr="00092FC6">
        <w:t xml:space="preserve">minutes at 37°C and then washed </w:t>
      </w:r>
      <w:r w:rsidR="00AE7C27" w:rsidRPr="00092FC6">
        <w:t xml:space="preserve">six </w:t>
      </w:r>
      <w:r w:rsidRPr="00092FC6">
        <w:t>times. Finally, 50</w:t>
      </w:r>
      <w:r w:rsidR="005133EE" w:rsidRPr="00092FC6">
        <w:t> </w:t>
      </w:r>
      <w:r w:rsidRPr="00092FC6">
        <w:t>µl of freshly prepared ABTS (2,2’-</w:t>
      </w:r>
      <w:r w:rsidR="00F122E3" w:rsidRPr="00092FC6">
        <w:t>azino</w:t>
      </w:r>
      <w:r w:rsidRPr="00092FC6">
        <w:t xml:space="preserve">-bis-[3-ethylbenzo-thiazoline-6-sulphonic acid]) substrate </w:t>
      </w:r>
      <w:r w:rsidR="008A2075" w:rsidRPr="00092FC6">
        <w:t>and</w:t>
      </w:r>
      <w:r w:rsidRPr="00092FC6">
        <w:t xml:space="preserve"> hydrogen peroxide</w:t>
      </w:r>
      <w:r w:rsidR="008A2075" w:rsidRPr="00092FC6">
        <w:t xml:space="preserve"> (0.1%)</w:t>
      </w:r>
      <w:r w:rsidRPr="00092FC6">
        <w:t xml:space="preserve"> is added, and the plates are incubated at room temperature for 15–40</w:t>
      </w:r>
      <w:r w:rsidR="005133EE" w:rsidRPr="00092FC6">
        <w:t> </w:t>
      </w:r>
      <w:r w:rsidRPr="00092FC6">
        <w:t>minutes</w:t>
      </w:r>
      <w:r w:rsidR="00F64E23" w:rsidRPr="00092FC6">
        <w:t>.</w:t>
      </w:r>
      <w:r w:rsidRPr="00092FC6">
        <w:t xml:space="preserve"> The</w:t>
      </w:r>
      <w:r w:rsidR="008A2075" w:rsidRPr="00092FC6">
        <w:t xml:space="preserve"> light </w:t>
      </w:r>
      <w:r w:rsidRPr="00092FC6">
        <w:t>absorbance is measured at 405</w:t>
      </w:r>
      <w:r w:rsidR="005133EE" w:rsidRPr="00092FC6">
        <w:t> </w:t>
      </w:r>
      <w:r w:rsidRPr="00092FC6">
        <w:t xml:space="preserve">nm. </w:t>
      </w:r>
      <w:r w:rsidR="00687985" w:rsidRPr="00092FC6">
        <w:rPr>
          <w:lang w:val="en-IE" w:eastAsia="ko-KR"/>
        </w:rPr>
        <w:t xml:space="preserve">A test sample is considered to be positive if the absorbance of the test sample in wells containing virus antigen is at least twice the absorbance of negative control serum in wells containing virus antigen and at least twice the absorbance of the sample tested in parallel in wells containing </w:t>
      </w:r>
      <w:r w:rsidR="008A2075" w:rsidRPr="00092FC6">
        <w:rPr>
          <w:lang w:val="en-IE" w:eastAsia="ko-KR"/>
        </w:rPr>
        <w:t>negative control</w:t>
      </w:r>
      <w:r w:rsidR="00AE7C27" w:rsidRPr="00092FC6">
        <w:rPr>
          <w:lang w:val="en-IE" w:eastAsia="ko-KR"/>
        </w:rPr>
        <w:t xml:space="preserve"> </w:t>
      </w:r>
      <w:r w:rsidR="00687985" w:rsidRPr="00092FC6">
        <w:rPr>
          <w:lang w:val="en-IE" w:eastAsia="ko-KR"/>
        </w:rPr>
        <w:t>antigen</w:t>
      </w:r>
      <w:r w:rsidRPr="00092FC6">
        <w:t>.</w:t>
      </w:r>
      <w:r w:rsidR="00C16613" w:rsidRPr="00092FC6">
        <w:rPr>
          <w:lang w:val="en-IE"/>
        </w:rPr>
        <w:t xml:space="preserve"> To ensure specificity, each serum sample is tested for reactivity with both virus antigen and control antigen.</w:t>
      </w:r>
    </w:p>
    <w:p w14:paraId="60616EFF" w14:textId="0F5E2A0C" w:rsidR="001B68A1" w:rsidRPr="00092FC6" w:rsidRDefault="008D31A6" w:rsidP="007932E8">
      <w:pPr>
        <w:pStyle w:val="11"/>
      </w:pPr>
      <w:r w:rsidRPr="00092FC6">
        <w:lastRenderedPageBreak/>
        <w:t>2.4.</w:t>
      </w:r>
      <w:r w:rsidR="001B68A1" w:rsidRPr="00092FC6">
        <w:tab/>
        <w:t>Plaque reduction neutralisation</w:t>
      </w:r>
    </w:p>
    <w:p w14:paraId="14EC20DA" w14:textId="190EFB9D" w:rsidR="001B68A1" w:rsidRPr="00092FC6" w:rsidRDefault="001B68A1" w:rsidP="007932E8">
      <w:pPr>
        <w:pStyle w:val="11Para"/>
        <w:spacing w:after="480"/>
      </w:pPr>
      <w:r w:rsidRPr="00092FC6">
        <w:t>The PRN test is very specific and can be used to differentiate between EEE</w:t>
      </w:r>
      <w:r w:rsidR="00236057" w:rsidRPr="00092FC6">
        <w:t>,</w:t>
      </w:r>
      <w:r w:rsidRPr="00092FC6">
        <w:t xml:space="preserve"> WEE</w:t>
      </w:r>
      <w:r w:rsidR="00236057" w:rsidRPr="00092FC6">
        <w:t xml:space="preserve"> and VEE</w:t>
      </w:r>
      <w:r w:rsidRPr="00092FC6">
        <w:t xml:space="preserve"> virus infections. The PRN test is performed in duck embryo fibroblast, Vero, or BHK-21 cell cultures</w:t>
      </w:r>
      <w:r w:rsidR="008E3793" w:rsidRPr="00092FC6">
        <w:t xml:space="preserve"> in 25 </w:t>
      </w:r>
      <w:r w:rsidR="007D5C28" w:rsidRPr="00092FC6">
        <w:t>cm</w:t>
      </w:r>
      <w:r w:rsidR="00C027D8" w:rsidRPr="00092FC6">
        <w:rPr>
          <w:vertAlign w:val="superscript"/>
        </w:rPr>
        <w:t>2</w:t>
      </w:r>
      <w:r w:rsidR="007D5C28" w:rsidRPr="00092FC6">
        <w:t xml:space="preserve"> flasks or six-well plates. Volumes listed</w:t>
      </w:r>
      <w:r w:rsidR="00C73B3D" w:rsidRPr="00092FC6">
        <w:t xml:space="preserve"> below</w:t>
      </w:r>
      <w:r w:rsidR="007D5C28" w:rsidRPr="00092FC6">
        <w:t xml:space="preserve"> are for</w:t>
      </w:r>
      <w:r w:rsidR="00C73B3D" w:rsidRPr="00092FC6">
        <w:t xml:space="preserve"> the</w:t>
      </w:r>
      <w:r w:rsidR="007D5C28" w:rsidRPr="00092FC6">
        <w:t xml:space="preserve"> flasks</w:t>
      </w:r>
      <w:r w:rsidR="00C73B3D" w:rsidRPr="00092FC6">
        <w:t>, and</w:t>
      </w:r>
      <w:r w:rsidR="007D5C28" w:rsidRPr="00092FC6">
        <w:t xml:space="preserve"> should be halved </w:t>
      </w:r>
      <w:r w:rsidR="00C73B3D" w:rsidRPr="00092FC6">
        <w:t>if test is performed</w:t>
      </w:r>
      <w:r w:rsidR="007D5C28" w:rsidRPr="00092FC6">
        <w:t xml:space="preserve"> in six-well plates.</w:t>
      </w:r>
      <w:r w:rsidRPr="00092FC6">
        <w:t xml:space="preserve"> </w:t>
      </w:r>
      <w:r w:rsidR="00C16613" w:rsidRPr="00092FC6">
        <w:t>Prior to testing, serum is heat-inactivated at 56°C for 30 minutes. It</w:t>
      </w:r>
      <w:r w:rsidRPr="00092FC6">
        <w:t xml:space="preserve"> can be screened at a 1/10 and 1/100 final dilution. Endpoints can be established using the PRN or HI test</w:t>
      </w:r>
      <w:r w:rsidR="00A244EF" w:rsidRPr="00092FC6">
        <w:t>s</w:t>
      </w:r>
      <w:r w:rsidR="00C73B3D" w:rsidRPr="00092FC6">
        <w:t xml:space="preserve"> if serial serum dilutions (e.g. 2-fold, 5-fold, 10-fold, etc</w:t>
      </w:r>
      <w:r w:rsidR="001B5E30" w:rsidRPr="00092FC6">
        <w:t>.</w:t>
      </w:r>
      <w:r w:rsidR="00C73B3D" w:rsidRPr="00092FC6">
        <w:t>) are tested</w:t>
      </w:r>
      <w:r w:rsidRPr="00092FC6">
        <w:t>.</w:t>
      </w:r>
      <w:r w:rsidR="00C73B3D" w:rsidRPr="00092FC6">
        <w:t xml:space="preserve"> This is particularly useful for paired samples obtained from one animal and separated by several days or weeks.</w:t>
      </w:r>
      <w:r w:rsidRPr="00092FC6">
        <w:t xml:space="preserve"> Serum used in the PRN </w:t>
      </w:r>
      <w:r w:rsidR="00236057" w:rsidRPr="00092FC6">
        <w:t>test</w:t>
      </w:r>
      <w:r w:rsidRPr="00092FC6">
        <w:t xml:space="preserve"> is tested against 100 plaque-forming units </w:t>
      </w:r>
      <w:r w:rsidR="007D5C28" w:rsidRPr="00092FC6">
        <w:t>(PFU) of virus (50 PFU for six-well plates)</w:t>
      </w:r>
      <w:r w:rsidRPr="00092FC6">
        <w:t>. The virus/serum mixture is incubated at 37°C for 75</w:t>
      </w:r>
      <w:r w:rsidR="005133EE" w:rsidRPr="00092FC6">
        <w:t> </w:t>
      </w:r>
      <w:r w:rsidRPr="00092FC6">
        <w:t xml:space="preserve">minutes before inoculation </w:t>
      </w:r>
      <w:r w:rsidR="00F64E23" w:rsidRPr="00092FC6">
        <w:t>onto</w:t>
      </w:r>
      <w:r w:rsidRPr="00092FC6">
        <w:t xml:space="preserve"> confluent cell culture monolayers in 25 cm</w:t>
      </w:r>
      <w:r w:rsidR="00C027D8" w:rsidRPr="00092FC6">
        <w:rPr>
          <w:vertAlign w:val="superscript"/>
        </w:rPr>
        <w:t>2</w:t>
      </w:r>
      <w:r w:rsidRPr="00092FC6">
        <w:t xml:space="preserve"> flasks.</w:t>
      </w:r>
      <w:r w:rsidR="004C7E36" w:rsidRPr="00092FC6">
        <w:t xml:space="preserve"> The inoculum is adsorbed for 1 </w:t>
      </w:r>
      <w:r w:rsidRPr="00092FC6">
        <w:t xml:space="preserve">hour, followed by the addition of 6 ml of overlay medium. The overlay medium consists of two solutions that are prepared separately. </w:t>
      </w:r>
      <w:r w:rsidR="003A5F84" w:rsidRPr="00092FC6">
        <w:t xml:space="preserve">Solution I contains 2 </w:t>
      </w:r>
      <w:r w:rsidR="005133EE" w:rsidRPr="00092FC6">
        <w:t>×</w:t>
      </w:r>
      <w:r w:rsidR="003A5F84" w:rsidRPr="00092FC6">
        <w:t xml:space="preserve"> Earle’s Basic Salts Solution without phenol red, 4% fetal bovine serum, 100</w:t>
      </w:r>
      <w:r w:rsidR="005133EE" w:rsidRPr="00092FC6">
        <w:t> </w:t>
      </w:r>
      <w:r w:rsidR="003A5F84" w:rsidRPr="00092FC6">
        <w:t>µg/ml gentamicin, 200</w:t>
      </w:r>
      <w:r w:rsidR="005133EE" w:rsidRPr="00092FC6">
        <w:t> </w:t>
      </w:r>
      <w:r w:rsidR="003A5F84" w:rsidRPr="00092FC6">
        <w:t xml:space="preserve">µg/ml nystatin, </w:t>
      </w:r>
      <w:r w:rsidR="007D5C28" w:rsidRPr="00092FC6">
        <w:t>0.45</w:t>
      </w:r>
      <w:r w:rsidR="003A5F84" w:rsidRPr="00092FC6">
        <w:t xml:space="preserve">% solution of sodium bicarbonate, and </w:t>
      </w:r>
      <w:r w:rsidR="007D5C28" w:rsidRPr="00092FC6">
        <w:t>0.002%</w:t>
      </w:r>
      <w:r w:rsidR="003A5F84" w:rsidRPr="00092FC6">
        <w:t xml:space="preserve"> neutral red. </w:t>
      </w:r>
      <w:r w:rsidR="003D69DE" w:rsidRPr="00092FC6">
        <w:t xml:space="preserve">When duck embryo fibroblasts are used, Solution 1 also contains 6.6% yeast extract lactalbumin hydrolysate. </w:t>
      </w:r>
      <w:r w:rsidRPr="00092FC6">
        <w:t>Solution II consists of 2% Noble agar that is sterilised and maintained at 47°C. Equal volumes of solutions I and II are adjusted to 47°C and mixed together just before use. The test is incubated for 48–72</w:t>
      </w:r>
      <w:r w:rsidR="005133EE" w:rsidRPr="00092FC6">
        <w:t> </w:t>
      </w:r>
      <w:r w:rsidRPr="00092FC6">
        <w:t>hours, and endpoints are based on a 90% reduction in the number of plaques compared with the virus control flasks, which should have about 100</w:t>
      </w:r>
      <w:r w:rsidR="005133EE" w:rsidRPr="00092FC6">
        <w:t> </w:t>
      </w:r>
      <w:r w:rsidRPr="00092FC6">
        <w:t>plaques.</w:t>
      </w:r>
    </w:p>
    <w:p w14:paraId="41B51A78" w14:textId="77777777" w:rsidR="001B68A1" w:rsidRPr="00092FC6" w:rsidRDefault="001B68A1" w:rsidP="00D25831">
      <w:pPr>
        <w:pStyle w:val="A0"/>
      </w:pPr>
      <w:r w:rsidRPr="00092FC6">
        <w:t>c.  REQUIREMENTS FOR VACCINES</w:t>
      </w:r>
    </w:p>
    <w:p w14:paraId="5BC54E2D" w14:textId="77777777" w:rsidR="00B413EF" w:rsidRPr="00092FC6" w:rsidRDefault="00B413EF" w:rsidP="00B413EF">
      <w:pPr>
        <w:pStyle w:val="1"/>
      </w:pPr>
      <w:r w:rsidRPr="00092FC6">
        <w:t>1.</w:t>
      </w:r>
      <w:r w:rsidRPr="00092FC6">
        <w:tab/>
        <w:t>Background</w:t>
      </w:r>
    </w:p>
    <w:p w14:paraId="3B54F35B" w14:textId="742E41B0" w:rsidR="001B68A1" w:rsidRPr="00092FC6" w:rsidRDefault="001B68A1" w:rsidP="00D25831">
      <w:pPr>
        <w:pStyle w:val="paraA0"/>
      </w:pPr>
      <w:r w:rsidRPr="00092FC6">
        <w:t xml:space="preserve">Inactivated vaccines against EEE and WEE viruses are </w:t>
      </w:r>
      <w:r w:rsidR="00583F9B" w:rsidRPr="00583F9B">
        <w:rPr>
          <w:u w:val="double"/>
        </w:rPr>
        <w:t>commercially</w:t>
      </w:r>
      <w:r w:rsidR="00583F9B" w:rsidRPr="00092FC6">
        <w:t xml:space="preserve"> </w:t>
      </w:r>
      <w:r w:rsidRPr="00092FC6">
        <w:t>available</w:t>
      </w:r>
      <w:r w:rsidRPr="00583F9B">
        <w:rPr>
          <w:strike/>
        </w:rPr>
        <w:t xml:space="preserve"> commercially</w:t>
      </w:r>
      <w:r w:rsidRPr="00092FC6">
        <w:t>. Attenuated EEE and WEE virus vaccines have not proven satisfactory. The vaccines licensed for use in the USA are prepared using the following combinations: EEE and WEE; EEE, WEE, and VEE; and EEE and VEE. In addition, tetanus toxoid</w:t>
      </w:r>
      <w:r w:rsidR="00270A91" w:rsidRPr="00092FC6">
        <w:t>,</w:t>
      </w:r>
      <w:r w:rsidRPr="00092FC6">
        <w:t xml:space="preserve"> inactivated influenza virus</w:t>
      </w:r>
      <w:r w:rsidR="00270A91" w:rsidRPr="00092FC6">
        <w:t xml:space="preserve">, </w:t>
      </w:r>
      <w:r w:rsidR="00034886" w:rsidRPr="00092FC6">
        <w:t>inactivated herpes viruses (</w:t>
      </w:r>
      <w:r w:rsidR="00013063" w:rsidRPr="00092FC6">
        <w:t xml:space="preserve">EHV-1 and EHV-4) </w:t>
      </w:r>
      <w:r w:rsidR="00270A91" w:rsidRPr="00092FC6">
        <w:t>and inactivated West Nile virus</w:t>
      </w:r>
      <w:r w:rsidRPr="00092FC6">
        <w:t xml:space="preserve"> have been combined with EEE and WEE or EEE, WEE, and VEE.</w:t>
      </w:r>
      <w:r w:rsidR="00270A91" w:rsidRPr="00092FC6">
        <w:t xml:space="preserve"> </w:t>
      </w:r>
      <w:r w:rsidRPr="00092FC6">
        <w:t>Current vaccines are prepared from virus propagated in cell culture, and inactivated with formalin (</w:t>
      </w:r>
      <w:r w:rsidR="001517EB" w:rsidRPr="00092FC6">
        <w:t xml:space="preserve">Maire </w:t>
      </w:r>
      <w:r w:rsidR="00E23CBC" w:rsidRPr="00092FC6">
        <w:rPr>
          <w:i/>
        </w:rPr>
        <w:t>et al</w:t>
      </w:r>
      <w:r w:rsidR="001517EB" w:rsidRPr="00092FC6">
        <w:t>., 1970</w:t>
      </w:r>
      <w:r w:rsidRPr="00092FC6">
        <w:t>).</w:t>
      </w:r>
    </w:p>
    <w:p w14:paraId="6E737DC3" w14:textId="6ED7671C" w:rsidR="00236057" w:rsidRPr="00092FC6" w:rsidRDefault="00236057" w:rsidP="00236057">
      <w:pPr>
        <w:pStyle w:val="paraA0"/>
        <w:spacing w:after="260"/>
      </w:pPr>
      <w:r w:rsidRPr="00092FC6">
        <w:t xml:space="preserve">The </w:t>
      </w:r>
      <w:r w:rsidR="00A51CDF" w:rsidRPr="00092FC6">
        <w:t xml:space="preserve">recommended </w:t>
      </w:r>
      <w:r w:rsidRPr="00092FC6">
        <w:t xml:space="preserve">vaccines against VEE infection are an attenuated virus vaccine, strain TC-83, and an inactivated virus preparation made from that strain (Monath &amp; Trent, 1981; Pan-American Health Organization, 1972; Walton, 1981; Walton &amp; Grayson, 1989). </w:t>
      </w:r>
      <w:r w:rsidRPr="00092FC6">
        <w:rPr>
          <w:rFonts w:cstheme="minorHAnsi"/>
          <w:szCs w:val="22"/>
        </w:rPr>
        <w:t>Directions for use provided with commercial products should be followed.</w:t>
      </w:r>
    </w:p>
    <w:p w14:paraId="5FAC91EE" w14:textId="693335DA" w:rsidR="00236057" w:rsidRPr="00092FC6" w:rsidRDefault="00236057" w:rsidP="00236057">
      <w:pPr>
        <w:pStyle w:val="paraA0"/>
        <w:spacing w:after="260"/>
      </w:pPr>
      <w:r w:rsidRPr="00092FC6">
        <w:t xml:space="preserve">Inactivated vaccine should be administered in two doses with an interval of 2–4 weeks between doses. Annual revaccination is recommended unless otherwise is indicated </w:t>
      </w:r>
      <w:r w:rsidR="00A244EF" w:rsidRPr="00092FC6">
        <w:t>on the</w:t>
      </w:r>
      <w:r w:rsidRPr="00092FC6">
        <w:t xml:space="preserve"> manufacturer’s label.</w:t>
      </w:r>
    </w:p>
    <w:p w14:paraId="7A674D78" w14:textId="4447F9F3" w:rsidR="00236057" w:rsidRPr="00583F9B" w:rsidRDefault="00236057" w:rsidP="00236057">
      <w:pPr>
        <w:pStyle w:val="paraA0"/>
        <w:spacing w:after="260"/>
        <w:rPr>
          <w:u w:val="double"/>
        </w:rPr>
      </w:pPr>
      <w:r w:rsidRPr="00092FC6">
        <w:t xml:space="preserve">Attenuated vaccine should be reconstituted with physiological saline and used immediately. Multidose vials are kept on ice while the vaccine is being used. Any vaccine not used within 4 hours of reconstitution should be safely discarded. Animals </w:t>
      </w:r>
      <w:r w:rsidRPr="00092FC6">
        <w:rPr>
          <w:rFonts w:cstheme="minorHAnsi"/>
          <w:szCs w:val="22"/>
        </w:rPr>
        <w:t xml:space="preserve">over 3 months of age </w:t>
      </w:r>
      <w:r w:rsidRPr="00092FC6">
        <w:t xml:space="preserve">are vaccinated subcutaneously in the cervical region with a single dose. </w:t>
      </w:r>
      <w:r w:rsidRPr="00092FC6">
        <w:rPr>
          <w:rFonts w:cstheme="minorHAnsi"/>
          <w:szCs w:val="22"/>
        </w:rPr>
        <w:t xml:space="preserve">Annual </w:t>
      </w:r>
      <w:r w:rsidRPr="00092FC6">
        <w:t>revaccination is recommended.</w:t>
      </w:r>
      <w:r w:rsidR="00583F9B">
        <w:t xml:space="preserve"> </w:t>
      </w:r>
      <w:r w:rsidR="00583F9B">
        <w:rPr>
          <w:u w:val="double"/>
        </w:rPr>
        <w:t>Recommendations specific to local environs may vary based on risk. Consultation with an equine veterinarian may be beneficial for determining the appropriate schedule.</w:t>
      </w:r>
    </w:p>
    <w:p w14:paraId="451A2BAC" w14:textId="77C6E146" w:rsidR="00236057" w:rsidRPr="00092FC6" w:rsidRDefault="00236057" w:rsidP="00236057">
      <w:pPr>
        <w:pStyle w:val="paraA0"/>
      </w:pPr>
      <w:r w:rsidRPr="00092FC6">
        <w:rPr>
          <w:rFonts w:cstheme="minorHAnsi"/>
          <w:szCs w:val="22"/>
        </w:rPr>
        <w:t xml:space="preserve">Guidelines for the production of veterinary vaccines are given in Chapter 1.1.8 </w:t>
      </w:r>
      <w:r w:rsidRPr="00092FC6">
        <w:rPr>
          <w:rFonts w:cstheme="minorHAnsi"/>
          <w:i/>
          <w:szCs w:val="22"/>
        </w:rPr>
        <w:t>Principles of veterinary vaccine production</w:t>
      </w:r>
      <w:r w:rsidRPr="00092FC6">
        <w:rPr>
          <w:rFonts w:cstheme="minorHAnsi"/>
          <w:szCs w:val="22"/>
        </w:rPr>
        <w:t>. The guidelines given below and in chapter 1.1.8 are intended to be general in nature and may be supplemented by national and regional requirements.</w:t>
      </w:r>
    </w:p>
    <w:p w14:paraId="7E278B03" w14:textId="77777777" w:rsidR="00B413EF" w:rsidRPr="00092FC6" w:rsidRDefault="00B413EF" w:rsidP="00B413EF">
      <w:pPr>
        <w:pStyle w:val="1"/>
      </w:pPr>
      <w:r w:rsidRPr="00092FC6">
        <w:t>2.</w:t>
      </w:r>
      <w:r w:rsidRPr="00092FC6">
        <w:tab/>
        <w:t xml:space="preserve">Outline of production and minimum requirements for vaccines </w:t>
      </w:r>
    </w:p>
    <w:p w14:paraId="4E0D0087" w14:textId="02FDB7FA" w:rsidR="001B68A1" w:rsidRPr="00092FC6" w:rsidRDefault="008D31A6" w:rsidP="007932E8">
      <w:pPr>
        <w:pStyle w:val="11"/>
      </w:pPr>
      <w:r w:rsidRPr="00092FC6">
        <w:t>2.1.</w:t>
      </w:r>
      <w:r w:rsidR="001B68A1" w:rsidRPr="00092FC6">
        <w:tab/>
        <w:t>Characteristics of the seed</w:t>
      </w:r>
    </w:p>
    <w:p w14:paraId="63DA206B" w14:textId="41F89693" w:rsidR="00B413EF" w:rsidRPr="00092FC6" w:rsidRDefault="00B413EF" w:rsidP="007932E8">
      <w:pPr>
        <w:pStyle w:val="11Para"/>
      </w:pPr>
      <w:r w:rsidRPr="00092FC6">
        <w:t>See chapter 1.1.</w:t>
      </w:r>
      <w:r w:rsidR="004C7E36" w:rsidRPr="00092FC6">
        <w:t>8</w:t>
      </w:r>
      <w:r w:rsidRPr="00092FC6">
        <w:t xml:space="preserve"> for general requirements for Master Seeds and allowable passages for vaccine production. Suitable seed lots should be maintained at –70°C in a lyophilised state.</w:t>
      </w:r>
    </w:p>
    <w:p w14:paraId="421A9FDB" w14:textId="51F7B99D" w:rsidR="00B413EF" w:rsidRPr="00092FC6" w:rsidRDefault="008D31A6" w:rsidP="007932E8">
      <w:pPr>
        <w:pStyle w:val="111"/>
      </w:pPr>
      <w:r w:rsidRPr="00092FC6">
        <w:t>2.1.1.</w:t>
      </w:r>
      <w:r w:rsidR="00B413EF" w:rsidRPr="00092FC6">
        <w:tab/>
        <w:t>Biological characteristics of the master seed</w:t>
      </w:r>
    </w:p>
    <w:p w14:paraId="12737F7C" w14:textId="77777777" w:rsidR="001B68A1" w:rsidRPr="00092FC6" w:rsidRDefault="001B68A1" w:rsidP="007932E8">
      <w:pPr>
        <w:pStyle w:val="111Para"/>
      </w:pPr>
      <w:r w:rsidRPr="00092FC6">
        <w:t>Standard strains of EEE and WEE viruses were isolated over 20</w:t>
      </w:r>
      <w:r w:rsidR="006646DA" w:rsidRPr="00092FC6">
        <w:t> </w:t>
      </w:r>
      <w:r w:rsidRPr="00092FC6">
        <w:t>years ago</w:t>
      </w:r>
      <w:r w:rsidR="00B413EF" w:rsidRPr="00092FC6">
        <w:t>,</w:t>
      </w:r>
      <w:r w:rsidRPr="00092FC6">
        <w:t xml:space="preserve"> have been used for vaccine production and have been proven to produce </w:t>
      </w:r>
      <w:r w:rsidR="004E61B2" w:rsidRPr="00092FC6">
        <w:t xml:space="preserve">a protective </w:t>
      </w:r>
      <w:r w:rsidRPr="00092FC6">
        <w:t xml:space="preserve">immunity. Strains of EEE virus that differ antigenically and in molecular structure have been identified from different geographical regions. However, the North American and Caribbean isolates appear to be </w:t>
      </w:r>
      <w:r w:rsidRPr="00092FC6">
        <w:lastRenderedPageBreak/>
        <w:t>similar (</w:t>
      </w:r>
      <w:r w:rsidR="001517EB" w:rsidRPr="00092FC6">
        <w:t xml:space="preserve">Weaver </w:t>
      </w:r>
      <w:r w:rsidR="00E23CBC" w:rsidRPr="00092FC6">
        <w:rPr>
          <w:i/>
        </w:rPr>
        <w:t>et al</w:t>
      </w:r>
      <w:r w:rsidR="001517EB" w:rsidRPr="00092FC6">
        <w:t>., 1994</w:t>
      </w:r>
      <w:r w:rsidRPr="00092FC6">
        <w:t>). Strains of WEE virus isolated from different countries have been found to be similar both by MAb testing and RNA oligonucleotide fingerprinting analysis (</w:t>
      </w:r>
      <w:r w:rsidR="00E23CBC" w:rsidRPr="00092FC6">
        <w:rPr>
          <w:lang w:val="de-DE"/>
        </w:rPr>
        <w:t>Reisen &amp; Monath, 1989</w:t>
      </w:r>
      <w:r w:rsidRPr="00092FC6">
        <w:t xml:space="preserve">). A recent well-characterised isolate from the country where the vaccine is to be used would be advantageous. </w:t>
      </w:r>
      <w:r w:rsidR="00B413EF" w:rsidRPr="00092FC6">
        <w:t>Selected v</w:t>
      </w:r>
      <w:r w:rsidRPr="00092FC6">
        <w:t>iruses must be immunogenic and replicate to high titres in cell culture.</w:t>
      </w:r>
    </w:p>
    <w:p w14:paraId="1FDBC937" w14:textId="795E9435" w:rsidR="00236057" w:rsidRPr="00092FC6" w:rsidRDefault="00236057" w:rsidP="008D31A6">
      <w:pPr>
        <w:pStyle w:val="111Para"/>
      </w:pPr>
      <w:r w:rsidRPr="00092FC6">
        <w:t>The VEE virus vaccine strain TC-83 originated from the Trinidad donkey strain (a variant of I-AB) of epizootic VEE virus isolated in 1944. This strain was derived by serial passage of the Trinidad donkey strain in fetal guinea</w:t>
      </w:r>
      <w:r w:rsidRPr="00583F9B">
        <w:rPr>
          <w:strike/>
        </w:rPr>
        <w:t>-</w:t>
      </w:r>
      <w:r w:rsidRPr="00092FC6">
        <w:t>pig heart cells. It is safe and immunogenic at the established passage levels, and induces protective immunity in vaccinated equids, although adverse reactions can sometimes occur. The vaccine was originally developed for use in personnel involved in high-risk VEE virus research.</w:t>
      </w:r>
    </w:p>
    <w:p w14:paraId="73EE733D" w14:textId="77777777" w:rsidR="00400A3B" w:rsidRPr="00092FC6" w:rsidRDefault="008D31A6" w:rsidP="007932E8">
      <w:pPr>
        <w:pStyle w:val="111"/>
      </w:pPr>
      <w:r w:rsidRPr="00092FC6">
        <w:t>2.1.2.</w:t>
      </w:r>
      <w:r w:rsidR="00400A3B" w:rsidRPr="00092FC6">
        <w:tab/>
        <w:t>Quality criteria (sterility, purity, freedom from extraneous agents)</w:t>
      </w:r>
    </w:p>
    <w:p w14:paraId="1DC7D809" w14:textId="380D0658" w:rsidR="00400A3B" w:rsidRPr="00092FC6" w:rsidRDefault="00400A3B" w:rsidP="007932E8">
      <w:pPr>
        <w:pStyle w:val="111Para"/>
      </w:pPr>
      <w:r w:rsidRPr="00092FC6">
        <w:t>The MSV must be tested for purity, identity, and freedom from extraneous agents at the time before it is used in the manufacture of vaccine. The MSV must be free from bacteria, fungi and mycoplasma. The MSV is cultured on a Vero cell line and an embryonic equine cell type with confirmation by the fluorescent antibody technique to demonstrate freedom from equine herpesvirus, equine adenovirus, equine arteritis virus, bovine viral diarrhoea virus, reovirus, and rabies virus extraneous agents</w:t>
      </w:r>
      <w:r w:rsidR="00F12BA9" w:rsidRPr="00092FC6">
        <w:t>.</w:t>
      </w:r>
      <w:r w:rsidRPr="00092FC6">
        <w:t xml:space="preserve"> The MSV must also be free from extraneous virus by </w:t>
      </w:r>
      <w:r w:rsidR="00B32883" w:rsidRPr="00092FC6">
        <w:t>cytopathic effect (</w:t>
      </w:r>
      <w:r w:rsidRPr="00092FC6">
        <w:t>CPE</w:t>
      </w:r>
      <w:r w:rsidR="00B32883" w:rsidRPr="00092FC6">
        <w:t>)</w:t>
      </w:r>
      <w:r w:rsidRPr="00092FC6">
        <w:t xml:space="preserve"> and haemadsorption on cell culture on the Vero cell line and an embryonic equine cell type. </w:t>
      </w:r>
    </w:p>
    <w:p w14:paraId="16B781E7" w14:textId="4685B7E5" w:rsidR="00400A3B" w:rsidRPr="00092FC6" w:rsidRDefault="008D31A6" w:rsidP="007932E8">
      <w:pPr>
        <w:pStyle w:val="111"/>
      </w:pPr>
      <w:r w:rsidRPr="00092FC6">
        <w:t>2.1.3.</w:t>
      </w:r>
      <w:r w:rsidR="00400A3B" w:rsidRPr="00092FC6">
        <w:tab/>
        <w:t>Validation as a vaccine strain</w:t>
      </w:r>
    </w:p>
    <w:p w14:paraId="18FF29FA" w14:textId="77777777" w:rsidR="00400A3B" w:rsidRPr="00092FC6" w:rsidRDefault="00400A3B" w:rsidP="007932E8">
      <w:pPr>
        <w:pStyle w:val="111Para"/>
      </w:pPr>
      <w:r w:rsidRPr="00092FC6">
        <w:t>In an immunogenicity trial, the MSV at the highest passage level intended for production must prove its efficacy (protection) in the guinea</w:t>
      </w:r>
      <w:r w:rsidRPr="008A3DAC">
        <w:rPr>
          <w:strike/>
        </w:rPr>
        <w:t>-</w:t>
      </w:r>
      <w:r w:rsidRPr="00092FC6">
        <w:t xml:space="preserve">pig vaccination/serology potency test. </w:t>
      </w:r>
    </w:p>
    <w:p w14:paraId="0FFA11FF" w14:textId="589B9C66" w:rsidR="00400A3B" w:rsidRPr="00092FC6" w:rsidRDefault="008D31A6" w:rsidP="007932E8">
      <w:pPr>
        <w:pStyle w:val="111"/>
        <w:jc w:val="both"/>
      </w:pPr>
      <w:r w:rsidRPr="00092FC6">
        <w:t>2.1.4.</w:t>
      </w:r>
      <w:r w:rsidR="00400A3B" w:rsidRPr="00092FC6">
        <w:tab/>
        <w:t>Emergency procedure for provisional acceptance of new master seed virus (MSV) in the case of an epizootic (with pathogens with many serotypes)</w:t>
      </w:r>
    </w:p>
    <w:p w14:paraId="079123A1" w14:textId="184CBDEA" w:rsidR="00400A3B" w:rsidRPr="00092FC6" w:rsidRDefault="00400A3B" w:rsidP="007932E8">
      <w:pPr>
        <w:pStyle w:val="111Para"/>
      </w:pPr>
      <w:r w:rsidRPr="00092FC6">
        <w:t xml:space="preserve">In an emergency epizootic situation, there may be not enough time to fully test a new MSV for all extraneous agents; in such a situation, provisional acceptance of the new strain could be based on a risk analysis of the possibility of contamination of the antigen produced from the new MSV with extraneous agents. This risk assessment should take into account the characteristics of the process, including the nature and concentration of the inactivant for inactivated vaccines, before allowing </w:t>
      </w:r>
      <w:r w:rsidRPr="008A3DAC">
        <w:rPr>
          <w:strike/>
        </w:rPr>
        <w:t>or not the early</w:t>
      </w:r>
      <w:r w:rsidRPr="007F14E4">
        <w:rPr>
          <w:strike/>
        </w:rPr>
        <w:t xml:space="preserve"> </w:t>
      </w:r>
      <w:r w:rsidRPr="00092FC6">
        <w:t xml:space="preserve">release of </w:t>
      </w:r>
      <w:r w:rsidRPr="008A3DAC">
        <w:rPr>
          <w:strike/>
        </w:rPr>
        <w:t>the</w:t>
      </w:r>
      <w:r w:rsidR="007F14E4">
        <w:rPr>
          <w:strike/>
        </w:rPr>
        <w:t xml:space="preserve"> </w:t>
      </w:r>
      <w:r w:rsidR="008A3DAC" w:rsidRPr="008A3DAC">
        <w:rPr>
          <w:u w:val="double"/>
        </w:rPr>
        <w:t>any</w:t>
      </w:r>
      <w:r w:rsidRPr="00092FC6">
        <w:t xml:space="preserve"> new product</w:t>
      </w:r>
      <w:r w:rsidR="00B16050" w:rsidRPr="00092FC6">
        <w:t>.</w:t>
      </w:r>
    </w:p>
    <w:p w14:paraId="66108F9C" w14:textId="77F5FE39" w:rsidR="001B68A1" w:rsidRPr="00092FC6" w:rsidRDefault="008D31A6" w:rsidP="007932E8">
      <w:pPr>
        <w:pStyle w:val="11"/>
      </w:pPr>
      <w:r w:rsidRPr="00092FC6">
        <w:t>2.2.</w:t>
      </w:r>
      <w:r w:rsidR="001B68A1" w:rsidRPr="00092FC6">
        <w:tab/>
        <w:t>Method of manufacture</w:t>
      </w:r>
    </w:p>
    <w:p w14:paraId="24622F63" w14:textId="1A7D9DEE" w:rsidR="00400A3B" w:rsidRPr="00092FC6" w:rsidRDefault="008D31A6" w:rsidP="007932E8">
      <w:pPr>
        <w:pStyle w:val="111"/>
      </w:pPr>
      <w:r w:rsidRPr="00092FC6">
        <w:t>2.2.1.</w:t>
      </w:r>
      <w:r w:rsidR="00400A3B" w:rsidRPr="00092FC6">
        <w:tab/>
        <w:t>Procedure</w:t>
      </w:r>
    </w:p>
    <w:p w14:paraId="65C0A907" w14:textId="64CBDF60" w:rsidR="00400A3B" w:rsidRPr="00092FC6" w:rsidRDefault="00400A3B" w:rsidP="007932E8">
      <w:pPr>
        <w:pStyle w:val="111Para"/>
      </w:pPr>
      <w:r w:rsidRPr="00092FC6">
        <w:t>The MSV should be propagated in cell lines known to support the growth of EEE</w:t>
      </w:r>
      <w:r w:rsidR="00425335" w:rsidRPr="00092FC6">
        <w:t>,</w:t>
      </w:r>
      <w:r w:rsidRPr="00092FC6">
        <w:t xml:space="preserve"> WEE</w:t>
      </w:r>
      <w:r w:rsidR="00425335" w:rsidRPr="00092FC6">
        <w:t xml:space="preserve"> and VEE viruses</w:t>
      </w:r>
      <w:r w:rsidRPr="00092FC6">
        <w:t>. See chapter 1.1.</w:t>
      </w:r>
      <w:r w:rsidR="004C7E36" w:rsidRPr="00092FC6">
        <w:t>8</w:t>
      </w:r>
      <w:r w:rsidRPr="00092FC6">
        <w:t xml:space="preserve"> for additional guidance on the preparation and testing of </w:t>
      </w:r>
      <w:r w:rsidR="00B32883" w:rsidRPr="00092FC6">
        <w:t>master cell stocks</w:t>
      </w:r>
      <w:r w:rsidRPr="00092FC6">
        <w:t>. Cell lines should be free from extraneous viruses, bacteria, fungi, and mycoplasma. Viral propagation should not exceed five passages from the MSV, unless further passages prove to provide sufficient serological titres in guinea</w:t>
      </w:r>
      <w:r w:rsidRPr="00F2406A">
        <w:rPr>
          <w:strike/>
        </w:rPr>
        <w:t>-</w:t>
      </w:r>
      <w:r w:rsidR="00B32883" w:rsidRPr="00092FC6">
        <w:t>pigs.</w:t>
      </w:r>
    </w:p>
    <w:p w14:paraId="2B2156FF" w14:textId="3701171C" w:rsidR="00400A3B" w:rsidRPr="00092FC6" w:rsidRDefault="00400A3B" w:rsidP="007932E8">
      <w:pPr>
        <w:pStyle w:val="111Para"/>
      </w:pPr>
      <w:r w:rsidRPr="00092FC6">
        <w:t>The susceptible cell line is seeded into suitable vessels. Minimal essential medium, supple</w:t>
      </w:r>
      <w:r w:rsidR="005D59BD" w:rsidRPr="00092FC6">
        <w:t>mented with fetal bovine serum</w:t>
      </w:r>
      <w:r w:rsidRPr="00092FC6">
        <w:t>, may be used as the medium for production. Incubation is at 37°C.</w:t>
      </w:r>
    </w:p>
    <w:p w14:paraId="39134C3B" w14:textId="30589865" w:rsidR="00400A3B" w:rsidRPr="00092FC6" w:rsidRDefault="00400A3B" w:rsidP="007932E8">
      <w:pPr>
        <w:pStyle w:val="111Para"/>
      </w:pPr>
      <w:r w:rsidRPr="00092FC6">
        <w:t>Cell cultures are inoculated directly with EEE</w:t>
      </w:r>
      <w:r w:rsidR="00236057" w:rsidRPr="00092FC6">
        <w:t>,</w:t>
      </w:r>
      <w:r w:rsidRPr="00092FC6">
        <w:t xml:space="preserve"> WEE</w:t>
      </w:r>
      <w:r w:rsidR="00236057" w:rsidRPr="00092FC6">
        <w:t xml:space="preserve"> or VEE</w:t>
      </w:r>
      <w:r w:rsidRPr="00092FC6">
        <w:t xml:space="preserve"> working virus stock, which is generally 1 to 4 passages from the MSV. Inoculated cultures are incubated for 1–3 days before harvesting the culture medium. During incubation, the cultures are observed daily for CPE and bacterial contamination.</w:t>
      </w:r>
    </w:p>
    <w:p w14:paraId="346033DF" w14:textId="77777777" w:rsidR="00400A3B" w:rsidRPr="00092FC6" w:rsidRDefault="00400A3B" w:rsidP="007932E8">
      <w:pPr>
        <w:pStyle w:val="111Para"/>
      </w:pPr>
      <w:r w:rsidRPr="00092FC6">
        <w:t>Inactivated vaccines may be chemically inactivated with formalin and mixed with a suitable adjuvant. The duration of the inactivation period is based on demonstrated inactivation kinetics.</w:t>
      </w:r>
    </w:p>
    <w:p w14:paraId="69B2D3F1" w14:textId="6D2F6087" w:rsidR="00400A3B" w:rsidRPr="00092FC6" w:rsidRDefault="00400A3B" w:rsidP="007932E8">
      <w:pPr>
        <w:pStyle w:val="111Para"/>
      </w:pPr>
      <w:r w:rsidRPr="00092FC6">
        <w:t>The preservatives used are thimerosal at a 1/1000 dilution and antibiotics (neomycin, polymyxin, amphotercin B, gentamicin</w:t>
      </w:r>
      <w:r w:rsidR="00236057" w:rsidRPr="00092FC6">
        <w:t>, and other</w:t>
      </w:r>
      <w:r w:rsidR="00F2406A" w:rsidRPr="00F2406A">
        <w:rPr>
          <w:u w:val="double"/>
        </w:rPr>
        <w:t>s</w:t>
      </w:r>
      <w:r w:rsidRPr="00092FC6">
        <w:t>).</w:t>
      </w:r>
    </w:p>
    <w:p w14:paraId="0C79ADE7" w14:textId="58CC6024" w:rsidR="00400A3B" w:rsidRPr="00092FC6" w:rsidRDefault="008D31A6" w:rsidP="007932E8">
      <w:pPr>
        <w:pStyle w:val="111"/>
      </w:pPr>
      <w:r w:rsidRPr="00092FC6">
        <w:t>2.2.2.</w:t>
      </w:r>
      <w:r w:rsidRPr="00092FC6">
        <w:tab/>
      </w:r>
      <w:r w:rsidR="00400A3B" w:rsidRPr="00092FC6">
        <w:t>Requirements for ingredients</w:t>
      </w:r>
    </w:p>
    <w:p w14:paraId="3311393B" w14:textId="319B7820" w:rsidR="00400A3B" w:rsidRPr="00092FC6" w:rsidRDefault="00400A3B" w:rsidP="007932E8">
      <w:pPr>
        <w:pStyle w:val="111Para"/>
      </w:pPr>
      <w:r w:rsidRPr="00092FC6">
        <w:lastRenderedPageBreak/>
        <w:t>All ingredients used in the manufacture of EEE</w:t>
      </w:r>
      <w:r w:rsidR="00236057" w:rsidRPr="00092FC6">
        <w:t>,</w:t>
      </w:r>
      <w:r w:rsidRPr="00092FC6">
        <w:t xml:space="preserve"> WEE</w:t>
      </w:r>
      <w:r w:rsidR="00236057" w:rsidRPr="00092FC6">
        <w:t xml:space="preserve"> and VEE</w:t>
      </w:r>
      <w:r w:rsidRPr="00092FC6">
        <w:t xml:space="preserve"> vaccine</w:t>
      </w:r>
      <w:r w:rsidR="00236057" w:rsidRPr="00092FC6">
        <w:t>s</w:t>
      </w:r>
      <w:r w:rsidRPr="00092FC6">
        <w:t xml:space="preserve"> should be defined in approved manufacturing protocols and consistent from batch to batch. See chapter 1.1.</w:t>
      </w:r>
      <w:r w:rsidR="004C7E36" w:rsidRPr="00092FC6">
        <w:t>8</w:t>
      </w:r>
      <w:r w:rsidRPr="00092FC6">
        <w:t xml:space="preserve"> for general guidance on ingredients of animal origin. Ingredients of animal origin should be sourced from a country with negligible risk for transmissible spongiform encephalopathies (TSEs).</w:t>
      </w:r>
    </w:p>
    <w:p w14:paraId="36CD5CC2" w14:textId="24219B2C" w:rsidR="00400A3B" w:rsidRPr="00092FC6" w:rsidRDefault="008D31A6" w:rsidP="007932E8">
      <w:pPr>
        <w:pStyle w:val="111"/>
      </w:pPr>
      <w:r w:rsidRPr="00092FC6">
        <w:t>2.2.3.</w:t>
      </w:r>
      <w:r w:rsidRPr="00092FC6">
        <w:tab/>
      </w:r>
      <w:r w:rsidR="00400A3B" w:rsidRPr="00092FC6">
        <w:t>In-process controls</w:t>
      </w:r>
    </w:p>
    <w:p w14:paraId="7F6C4D86" w14:textId="77777777" w:rsidR="00400A3B" w:rsidRPr="00092FC6" w:rsidRDefault="00400A3B" w:rsidP="007932E8">
      <w:pPr>
        <w:pStyle w:val="111Para"/>
      </w:pPr>
      <w:r w:rsidRPr="00092FC6">
        <w:t>Production lots should be examined daily for cytopathic changes. After harvesting, the virus suspension should be tested for the presence of microbial contaminants. Production lots must be titrated in tissue culture before inactivation to standardise the product. Low-titred lots may be concentrated or blended with higher-titred lots to achieve the correct titre.</w:t>
      </w:r>
    </w:p>
    <w:p w14:paraId="78E6FFB8" w14:textId="77777777" w:rsidR="00400A3B" w:rsidRPr="00092FC6" w:rsidRDefault="00400A3B" w:rsidP="007932E8">
      <w:pPr>
        <w:pStyle w:val="111Para"/>
      </w:pPr>
      <w:r w:rsidRPr="00092FC6">
        <w:t>Inactivated lots must be tested for completeness of inactivation in 6- to 12-hour old chicks.</w:t>
      </w:r>
    </w:p>
    <w:p w14:paraId="50ED215D" w14:textId="3BD91027" w:rsidR="00400A3B" w:rsidRPr="00092FC6" w:rsidRDefault="008D31A6" w:rsidP="007932E8">
      <w:pPr>
        <w:pStyle w:val="111"/>
      </w:pPr>
      <w:r w:rsidRPr="00092FC6">
        <w:t>2.2.4.</w:t>
      </w:r>
      <w:r w:rsidRPr="00092FC6">
        <w:tab/>
      </w:r>
      <w:r w:rsidR="00400A3B" w:rsidRPr="00092FC6">
        <w:t>Final product batch tests</w:t>
      </w:r>
    </w:p>
    <w:p w14:paraId="3425DFCD" w14:textId="77777777" w:rsidR="00400A3B" w:rsidRPr="00092FC6" w:rsidRDefault="008D31A6" w:rsidP="007932E8">
      <w:pPr>
        <w:pStyle w:val="i"/>
      </w:pPr>
      <w:r w:rsidRPr="00092FC6">
        <w:t>i)</w:t>
      </w:r>
      <w:r w:rsidRPr="00092FC6">
        <w:tab/>
      </w:r>
      <w:r w:rsidR="00400A3B" w:rsidRPr="00092FC6">
        <w:t>Sterility</w:t>
      </w:r>
    </w:p>
    <w:p w14:paraId="2C078E58" w14:textId="1B126E1B" w:rsidR="00400A3B" w:rsidRPr="00092FC6" w:rsidRDefault="00400A3B" w:rsidP="007932E8">
      <w:pPr>
        <w:pStyle w:val="afourthpara"/>
      </w:pPr>
      <w:r w:rsidRPr="00092FC6">
        <w:t>Inactivated and live vaccine samples are examined for bacterial and fungal contamination. The volume of medium used in these tests should be enough to nullify any bacteriostatic or fungistatic effects of the preservatives in the product. To test for bacteria, ten vessels, each containing a minimum of 120 ml of soybean casein digest medium, are inoculated with 0.2</w:t>
      </w:r>
      <w:r w:rsidR="00D82498">
        <w:t> </w:t>
      </w:r>
      <w:r w:rsidRPr="00092FC6">
        <w:t>ml from ten final-container samples. The ten vessels are incubated at 30–35°C for 14</w:t>
      </w:r>
      <w:r w:rsidR="00D82498">
        <w:t> </w:t>
      </w:r>
      <w:r w:rsidRPr="00092FC6">
        <w:t>days and observed for bacterial growth. To test for fungi, ten vessels, each containing a minimum of 40 ml soybean casein digest medium, are inoculated with 0.2 ml from ten final-container samples. The vessels are incubated at 20–25°C for 14 days and observed for fungal growth. Individual countries may have other requirements.</w:t>
      </w:r>
    </w:p>
    <w:p w14:paraId="38EC9BC3" w14:textId="77777777" w:rsidR="00400A3B" w:rsidRPr="00092FC6" w:rsidRDefault="008D31A6" w:rsidP="007932E8">
      <w:pPr>
        <w:pStyle w:val="i"/>
      </w:pPr>
      <w:r w:rsidRPr="00092FC6">
        <w:t>ii)</w:t>
      </w:r>
      <w:r w:rsidRPr="00092FC6">
        <w:tab/>
      </w:r>
      <w:r w:rsidR="00400A3B" w:rsidRPr="00092FC6">
        <w:t xml:space="preserve">Identity </w:t>
      </w:r>
    </w:p>
    <w:p w14:paraId="682060DA" w14:textId="77777777" w:rsidR="00400A3B" w:rsidRPr="00092FC6" w:rsidRDefault="00400A3B" w:rsidP="007932E8">
      <w:pPr>
        <w:pStyle w:val="afourthpara"/>
      </w:pPr>
      <w:r w:rsidRPr="00092FC6">
        <w:t>Separate batch tests for identity should be conducted if the batch potency test, such as tissue-culture titrations of live virus vaccines, does not sufficiently verify the identity of the agent in the vaccine. Identity tests may include fluorescent antibody or serum neutralisation assays.</w:t>
      </w:r>
    </w:p>
    <w:p w14:paraId="3D30834E" w14:textId="64FEBF4C" w:rsidR="00400A3B" w:rsidRPr="00092FC6" w:rsidRDefault="008D31A6" w:rsidP="00D675DD">
      <w:pPr>
        <w:pStyle w:val="i"/>
      </w:pPr>
      <w:r w:rsidRPr="00092FC6">
        <w:t>iii)</w:t>
      </w:r>
      <w:r w:rsidRPr="00092FC6">
        <w:tab/>
      </w:r>
      <w:r w:rsidR="00400A3B" w:rsidRPr="00092FC6">
        <w:t>Safety</w:t>
      </w:r>
    </w:p>
    <w:p w14:paraId="092A27B3" w14:textId="2A1D8192" w:rsidR="00400A3B" w:rsidRPr="00092FC6" w:rsidRDefault="00400A3B" w:rsidP="007932E8">
      <w:pPr>
        <w:pStyle w:val="afourthpara"/>
      </w:pPr>
      <w:r w:rsidRPr="00092FC6">
        <w:t xml:space="preserve">Batch safety testing for </w:t>
      </w:r>
      <w:r w:rsidR="00E13F82" w:rsidRPr="00092FC6">
        <w:t>virus</w:t>
      </w:r>
      <w:r w:rsidRPr="00092FC6">
        <w:t xml:space="preserve"> inactivation is conducted in 6</w:t>
      </w:r>
      <w:r w:rsidR="00E13F82" w:rsidRPr="00092FC6">
        <w:t>-</w:t>
      </w:r>
      <w:r w:rsidRPr="00092FC6">
        <w:t xml:space="preserve"> to 12</w:t>
      </w:r>
      <w:r w:rsidR="00E13F82" w:rsidRPr="00092FC6">
        <w:t>-</w:t>
      </w:r>
      <w:r w:rsidRPr="00092FC6">
        <w:t>hour old chicks. Ten chicks are inoculated subcutaneously with 0.5 ml of pr</w:t>
      </w:r>
      <w:r w:rsidR="004C7E36" w:rsidRPr="00092FC6">
        <w:t>oduct and observed daily for 10 </w:t>
      </w:r>
      <w:r w:rsidRPr="00092FC6">
        <w:t>days. If unfavourable reactions occur, the batch is unacceptable.</w:t>
      </w:r>
    </w:p>
    <w:p w14:paraId="3141A1C5" w14:textId="77777777" w:rsidR="00400A3B" w:rsidRPr="00092FC6" w:rsidRDefault="008D31A6" w:rsidP="00D675DD">
      <w:pPr>
        <w:pStyle w:val="i"/>
      </w:pPr>
      <w:r w:rsidRPr="00092FC6">
        <w:t>iv)</w:t>
      </w:r>
      <w:r w:rsidRPr="00092FC6">
        <w:tab/>
      </w:r>
      <w:r w:rsidR="00400A3B" w:rsidRPr="00092FC6">
        <w:t>Batch potency</w:t>
      </w:r>
    </w:p>
    <w:p w14:paraId="3DE7CEB2" w14:textId="06D3F52F" w:rsidR="00F06E81" w:rsidRPr="00092FC6" w:rsidRDefault="00F06E81" w:rsidP="00D675DD">
      <w:pPr>
        <w:pStyle w:val="afourthpara"/>
      </w:pPr>
      <w:r w:rsidRPr="00092FC6">
        <w:t>Potency testing is performed by inoculating each of ten guinea</w:t>
      </w:r>
      <w:r w:rsidRPr="00F2406A">
        <w:rPr>
          <w:strike/>
        </w:rPr>
        <w:t>-</w:t>
      </w:r>
      <w:r w:rsidRPr="00092FC6">
        <w:t>pigs with EEE</w:t>
      </w:r>
      <w:r w:rsidR="002B3423" w:rsidRPr="00092FC6">
        <w:t>,</w:t>
      </w:r>
      <w:r w:rsidRPr="00092FC6">
        <w:t xml:space="preserve"> WEE</w:t>
      </w:r>
      <w:r w:rsidR="002B3423" w:rsidRPr="00092FC6">
        <w:t xml:space="preserve"> or VEE</w:t>
      </w:r>
      <w:r w:rsidRPr="00092FC6">
        <w:t xml:space="preserve"> virus</w:t>
      </w:r>
      <w:r w:rsidR="002958BE" w:rsidRPr="00092FC6">
        <w:t xml:space="preserve"> vaccine stock</w:t>
      </w:r>
      <w:r w:rsidRPr="00092FC6">
        <w:t>, using one-half the horse dose on two occasions, 14–21 days apart, by the route recommended for the horse. Serum samples from each vaccinate and each control are tested 14–21 days after the second dose using the PRN test. The EEE titres should be ≥</w:t>
      </w:r>
      <w:r w:rsidR="00F2406A" w:rsidRPr="00F2406A">
        <w:rPr>
          <w:u w:val="double"/>
        </w:rPr>
        <w:t xml:space="preserve"> </w:t>
      </w:r>
      <w:r w:rsidRPr="00092FC6">
        <w:t>1/40, the WEE titres should be ≥</w:t>
      </w:r>
      <w:r w:rsidR="00F2406A" w:rsidRPr="00F2406A">
        <w:rPr>
          <w:u w:val="double"/>
        </w:rPr>
        <w:t xml:space="preserve"> </w:t>
      </w:r>
      <w:r w:rsidRPr="00092FC6">
        <w:t xml:space="preserve">1/40 </w:t>
      </w:r>
      <w:r w:rsidR="00685CD4" w:rsidRPr="00092FC6">
        <w:t>and the VEE titres should be</w:t>
      </w:r>
      <w:r w:rsidR="007C5DD2" w:rsidRPr="00092FC6">
        <w:t xml:space="preserve"> ≥</w:t>
      </w:r>
      <w:r w:rsidR="00F2406A" w:rsidRPr="00F2406A">
        <w:rPr>
          <w:u w:val="double"/>
        </w:rPr>
        <w:t xml:space="preserve"> </w:t>
      </w:r>
      <w:r w:rsidR="007C5DD2" w:rsidRPr="00092FC6">
        <w:t xml:space="preserve">1/4 </w:t>
      </w:r>
      <w:r w:rsidRPr="00092FC6">
        <w:t>(US Code of Federal Regulations</w:t>
      </w:r>
      <w:r w:rsidR="0080641B" w:rsidRPr="00092FC6">
        <w:t>, 2000</w:t>
      </w:r>
      <w:r w:rsidRPr="00092FC6">
        <w:t xml:space="preserve">), using Vero cells. If duck embryo fibroblasts are used in the PRN test, the titres will be lower. </w:t>
      </w:r>
      <w:r w:rsidRPr="00346969">
        <w:rPr>
          <w:strike/>
        </w:rPr>
        <w:t>An alternative potency test is to use intracerebral challenge, 14–21 days after the second vaccination. Each guinea</w:t>
      </w:r>
      <w:r w:rsidR="00290F6D" w:rsidRPr="00346969">
        <w:rPr>
          <w:strike/>
        </w:rPr>
        <w:t>-</w:t>
      </w:r>
      <w:r w:rsidRPr="00346969">
        <w:rPr>
          <w:strike/>
        </w:rPr>
        <w:t>pig is inoculated with 0.1 ml of virus containing 100 LD</w:t>
      </w:r>
      <w:r w:rsidRPr="00346969">
        <w:rPr>
          <w:strike/>
          <w:szCs w:val="14"/>
          <w:vertAlign w:val="subscript"/>
        </w:rPr>
        <w:t>50</w:t>
      </w:r>
      <w:r w:rsidRPr="00346969">
        <w:rPr>
          <w:strike/>
        </w:rPr>
        <w:t xml:space="preserve"> (50% lethal dose). Simultaneous titration is carried out. </w:t>
      </w:r>
      <w:r w:rsidR="00290F6D" w:rsidRPr="00346969">
        <w:rPr>
          <w:strike/>
        </w:rPr>
        <w:t>F</w:t>
      </w:r>
      <w:r w:rsidRPr="00346969">
        <w:rPr>
          <w:strike/>
        </w:rPr>
        <w:t>or the vaccine to be approved, 80% of the guinea</w:t>
      </w:r>
      <w:r w:rsidR="00290F6D" w:rsidRPr="00346969">
        <w:rPr>
          <w:strike/>
        </w:rPr>
        <w:t>-</w:t>
      </w:r>
      <w:r w:rsidRPr="00346969">
        <w:rPr>
          <w:strike/>
        </w:rPr>
        <w:t>pigs must survive both viruses.</w:t>
      </w:r>
      <w:r w:rsidR="00843EA9" w:rsidRPr="00346969">
        <w:rPr>
          <w:strike/>
        </w:rPr>
        <w:t xml:space="preserve"> </w:t>
      </w:r>
      <w:r w:rsidR="00EC2E89" w:rsidRPr="00346969">
        <w:rPr>
          <w:u w:val="double"/>
        </w:rPr>
        <w:t>The use of animal batch release tests</w:t>
      </w:r>
      <w:r w:rsidR="00EC2E89" w:rsidRPr="00D44798">
        <w:rPr>
          <w:u w:val="double"/>
        </w:rPr>
        <w:t xml:space="preserve"> should be avoided wherever possible.</w:t>
      </w:r>
    </w:p>
    <w:p w14:paraId="00F14B20" w14:textId="0AC4769D" w:rsidR="00400A3B" w:rsidRPr="00092FC6" w:rsidRDefault="008D31A6" w:rsidP="00D675DD">
      <w:pPr>
        <w:pStyle w:val="11"/>
      </w:pPr>
      <w:r w:rsidRPr="00092FC6">
        <w:t>2.3.</w:t>
      </w:r>
      <w:r w:rsidR="00400A3B" w:rsidRPr="00092FC6">
        <w:tab/>
        <w:t>Requirements for authorisation/registration/licensing</w:t>
      </w:r>
    </w:p>
    <w:p w14:paraId="43DBB08A" w14:textId="3DCC3262" w:rsidR="00400A3B" w:rsidRPr="00092FC6" w:rsidRDefault="008D31A6" w:rsidP="00D675DD">
      <w:pPr>
        <w:pStyle w:val="111"/>
      </w:pPr>
      <w:r w:rsidRPr="00092FC6">
        <w:t>2.3.1.</w:t>
      </w:r>
      <w:r w:rsidR="00400A3B" w:rsidRPr="00092FC6">
        <w:tab/>
        <w:t>Manufacturing process</w:t>
      </w:r>
    </w:p>
    <w:p w14:paraId="5E107486" w14:textId="7CEC87C8" w:rsidR="00400A3B" w:rsidRPr="00092FC6" w:rsidRDefault="00400A3B" w:rsidP="00D675DD">
      <w:pPr>
        <w:pStyle w:val="111Para"/>
      </w:pPr>
      <w:r w:rsidRPr="00092FC6">
        <w:t>For registration of vaccine, all relevant details concerning manufacture of the vaccine and quality control testing (see Section C.2.</w:t>
      </w:r>
      <w:r w:rsidR="004C7E36" w:rsidRPr="00092FC6">
        <w:t>1</w:t>
      </w:r>
      <w:r w:rsidRPr="00092FC6">
        <w:t xml:space="preserve"> and </w:t>
      </w:r>
      <w:r w:rsidR="004C7E36" w:rsidRPr="00092FC6">
        <w:t>C.2.2</w:t>
      </w:r>
      <w:r w:rsidRPr="00092FC6">
        <w:t>) should be submitted to the authorities. This information shall be provided from three consecutive vaccine batches with a volume not less than 1/3 of the typical industrial batch volume.</w:t>
      </w:r>
    </w:p>
    <w:p w14:paraId="38532E8B" w14:textId="77777777" w:rsidR="00400A3B" w:rsidRPr="00092FC6" w:rsidRDefault="00400A3B" w:rsidP="00D675DD">
      <w:pPr>
        <w:pStyle w:val="111Para"/>
      </w:pPr>
      <w:r w:rsidRPr="00092FC6">
        <w:t xml:space="preserve">In-process controls are part of the manufacturing process. </w:t>
      </w:r>
    </w:p>
    <w:p w14:paraId="6A2D599E" w14:textId="55CB8B6F" w:rsidR="00400A3B" w:rsidRPr="00092FC6" w:rsidRDefault="008D31A6" w:rsidP="00D675DD">
      <w:pPr>
        <w:pStyle w:val="111"/>
      </w:pPr>
      <w:r w:rsidRPr="00092FC6">
        <w:t>2.3.2.</w:t>
      </w:r>
      <w:r w:rsidR="00400A3B" w:rsidRPr="00092FC6">
        <w:tab/>
        <w:t>Safety requirements</w:t>
      </w:r>
    </w:p>
    <w:p w14:paraId="68D3FB68" w14:textId="77777777" w:rsidR="00400A3B" w:rsidRPr="00092FC6" w:rsidRDefault="00400A3B" w:rsidP="00D675DD">
      <w:pPr>
        <w:pStyle w:val="111Para"/>
      </w:pPr>
      <w:r w:rsidRPr="00092FC6">
        <w:lastRenderedPageBreak/>
        <w:t>The final inactivated vaccine formulation should be tested in a limited number of target animals prior to a larger-scale field study. The final vaccine formulation should not cause adverse reactions.</w:t>
      </w:r>
    </w:p>
    <w:p w14:paraId="2760AC09" w14:textId="77777777" w:rsidR="00400A3B" w:rsidRPr="00092FC6" w:rsidRDefault="00E13F82" w:rsidP="00D675DD">
      <w:pPr>
        <w:pStyle w:val="111Para"/>
      </w:pPr>
      <w:r w:rsidRPr="00092FC6">
        <w:rPr>
          <w:lang w:val="en-IE"/>
        </w:rPr>
        <w:t xml:space="preserve">Field safety </w:t>
      </w:r>
      <w:r w:rsidRPr="00092FC6">
        <w:rPr>
          <w:lang w:val="en-US"/>
        </w:rPr>
        <w:t xml:space="preserve">studies should be conducted before any vaccine receives final approval. Generally, two serials should be used, in three different geographical locations under typical animal husbandry conditions, and in a minimum of 600 animals. The vaccine should be administered according to label recommendations (including </w:t>
      </w:r>
      <w:r w:rsidRPr="00092FC6">
        <w:rPr>
          <w:color w:val="000000"/>
          <w:lang w:val="en-US"/>
        </w:rPr>
        <w:t>booster doses) and should contain the maximum permissible amount of viral antigen. (If no maximum antigen content is specified, serials should be of anticipated typical post-marketing potency.) About one-third of the animals should be at the minimum age recommended for vaccination</w:t>
      </w:r>
      <w:r w:rsidR="00400A3B" w:rsidRPr="00092FC6">
        <w:rPr>
          <w:color w:val="000000"/>
        </w:rPr>
        <w:t>.</w:t>
      </w:r>
    </w:p>
    <w:p w14:paraId="42B49449" w14:textId="77777777" w:rsidR="00400A3B" w:rsidRPr="00092FC6" w:rsidRDefault="008D31A6" w:rsidP="00D675DD">
      <w:pPr>
        <w:pStyle w:val="i"/>
      </w:pPr>
      <w:r w:rsidRPr="00092FC6">
        <w:t>i)</w:t>
      </w:r>
      <w:r w:rsidRPr="00092FC6">
        <w:tab/>
      </w:r>
      <w:r w:rsidR="00400A3B" w:rsidRPr="00092FC6">
        <w:t>Precautions (hazards)</w:t>
      </w:r>
    </w:p>
    <w:p w14:paraId="24A98525" w14:textId="77777777" w:rsidR="00400A3B" w:rsidRPr="00092FC6" w:rsidRDefault="00400A3B" w:rsidP="00D675DD">
      <w:pPr>
        <w:pStyle w:val="afourthpara"/>
      </w:pPr>
      <w:r w:rsidRPr="00092FC6">
        <w:t>Vaccine should be identified as harmless or pathogenic for vaccinators. Manufacturers should provide adequate warnings that medical advice should be sought in the case of self-injection (including for adjuvants, oil-emulsion vaccine, preservatives, etc.) with warnings included on the product label/leaflet so that the vaccinator is aware of any danger.</w:t>
      </w:r>
    </w:p>
    <w:p w14:paraId="1665A101" w14:textId="5AF04D79" w:rsidR="00400A3B" w:rsidRPr="00092FC6" w:rsidRDefault="008D31A6" w:rsidP="00D675DD">
      <w:pPr>
        <w:pStyle w:val="111"/>
      </w:pPr>
      <w:r w:rsidRPr="00092FC6">
        <w:t>2.3.3.</w:t>
      </w:r>
      <w:r w:rsidR="00400A3B" w:rsidRPr="00092FC6">
        <w:tab/>
        <w:t>Efficacy requirements</w:t>
      </w:r>
    </w:p>
    <w:p w14:paraId="53DE5E8E" w14:textId="77777777" w:rsidR="00400A3B" w:rsidRPr="00092FC6" w:rsidRDefault="00400A3B" w:rsidP="00D675DD">
      <w:pPr>
        <w:pStyle w:val="111Para"/>
      </w:pPr>
      <w:r w:rsidRPr="00092FC6">
        <w:t xml:space="preserve">To register a commercial vaccine, a batch or batches produced according to the standard method and containing the minimum amount of antigen or potency value shall prove its efficacy (protection) in the </w:t>
      </w:r>
      <w:r w:rsidR="002A3D09" w:rsidRPr="00092FC6">
        <w:t>guinea</w:t>
      </w:r>
      <w:r w:rsidR="002A3D09" w:rsidRPr="00F2406A">
        <w:rPr>
          <w:strike/>
        </w:rPr>
        <w:t>-</w:t>
      </w:r>
      <w:r w:rsidR="002A3D09" w:rsidRPr="00092FC6">
        <w:t>pig</w:t>
      </w:r>
      <w:r w:rsidRPr="00092FC6">
        <w:t xml:space="preserve"> vaccination/serology potency test; each future commercial batch shall be tested before release to ensure it has the same potency value demonstrated by the batch(es) used for the efficacy test(s).</w:t>
      </w:r>
    </w:p>
    <w:p w14:paraId="14DE5A76" w14:textId="679EEF12" w:rsidR="00400A3B" w:rsidRPr="00092FC6" w:rsidRDefault="008D31A6" w:rsidP="00D675DD">
      <w:pPr>
        <w:pStyle w:val="111"/>
      </w:pPr>
      <w:r w:rsidRPr="00092FC6">
        <w:t>2.3.4.</w:t>
      </w:r>
      <w:r w:rsidR="00400A3B" w:rsidRPr="00092FC6">
        <w:tab/>
        <w:t>Vaccines permitting a DIVA strategy (detection of infection in vaccinated animals)</w:t>
      </w:r>
    </w:p>
    <w:p w14:paraId="3141116C" w14:textId="00461D89" w:rsidR="00400A3B" w:rsidRPr="00092FC6" w:rsidRDefault="00E13F82" w:rsidP="00D675DD">
      <w:pPr>
        <w:pStyle w:val="111Para"/>
      </w:pPr>
      <w:r w:rsidRPr="00E93458">
        <w:rPr>
          <w:strike/>
        </w:rPr>
        <w:t>Vaccinated horses may develop a serological titre which may interfere with the ability to export the horse</w:t>
      </w:r>
      <w:r w:rsidR="00400A3B" w:rsidRPr="00E93458">
        <w:rPr>
          <w:strike/>
        </w:rPr>
        <w:t>.</w:t>
      </w:r>
      <w:r w:rsidR="00E93458">
        <w:t xml:space="preserve"> </w:t>
      </w:r>
      <w:r w:rsidR="00E93458" w:rsidRPr="00E93458">
        <w:rPr>
          <w:u w:val="double"/>
        </w:rPr>
        <w:t>None known.</w:t>
      </w:r>
    </w:p>
    <w:p w14:paraId="28462AB0" w14:textId="3998BA4E" w:rsidR="00E13F82" w:rsidRPr="00092FC6" w:rsidRDefault="008D31A6" w:rsidP="00D675DD">
      <w:pPr>
        <w:pStyle w:val="111"/>
      </w:pPr>
      <w:r w:rsidRPr="00092FC6">
        <w:t>2.3.5.</w:t>
      </w:r>
      <w:r w:rsidR="00E13F82" w:rsidRPr="00092FC6">
        <w:tab/>
        <w:t>Duration of immunity</w:t>
      </w:r>
    </w:p>
    <w:p w14:paraId="26E05C3C" w14:textId="77777777" w:rsidR="001B68A1" w:rsidRPr="00092FC6" w:rsidRDefault="001B68A1" w:rsidP="00D675DD">
      <w:pPr>
        <w:pStyle w:val="111Para"/>
      </w:pPr>
      <w:r w:rsidRPr="00092FC6">
        <w:t>Comprehensive studies on duration of immunity are not available. An annual revaccination is recommended</w:t>
      </w:r>
      <w:r w:rsidR="00E13F82" w:rsidRPr="00092FC6">
        <w:t xml:space="preserve"> for the inactivated vaccine</w:t>
      </w:r>
      <w:r w:rsidRPr="00092FC6">
        <w:t xml:space="preserve">. Foals vaccinated </w:t>
      </w:r>
      <w:r w:rsidR="00E13F82" w:rsidRPr="00092FC6">
        <w:t>under</w:t>
      </w:r>
      <w:r w:rsidRPr="00092FC6">
        <w:t xml:space="preserve"> 1</w:t>
      </w:r>
      <w:r w:rsidR="006646DA" w:rsidRPr="00092FC6">
        <w:t> </w:t>
      </w:r>
      <w:r w:rsidRPr="00092FC6">
        <w:t>year of age should be revaccinated before the next vector season.</w:t>
      </w:r>
    </w:p>
    <w:p w14:paraId="7A248326" w14:textId="32B01DF6" w:rsidR="00E13F82" w:rsidRPr="00092FC6" w:rsidRDefault="008D31A6" w:rsidP="00D675DD">
      <w:pPr>
        <w:pStyle w:val="111"/>
      </w:pPr>
      <w:r w:rsidRPr="00092FC6">
        <w:t>2.3.6.</w:t>
      </w:r>
      <w:r w:rsidR="00E13F82" w:rsidRPr="00092FC6">
        <w:tab/>
        <w:t>Stability</w:t>
      </w:r>
    </w:p>
    <w:p w14:paraId="65C8391F" w14:textId="37908F42" w:rsidR="001B68A1" w:rsidRPr="00092FC6" w:rsidRDefault="001B68A1" w:rsidP="00D675DD">
      <w:pPr>
        <w:pStyle w:val="111Para"/>
        <w:spacing w:after="480"/>
      </w:pPr>
      <w:r w:rsidRPr="00092FC6">
        <w:t xml:space="preserve">The </w:t>
      </w:r>
      <w:r w:rsidR="00E13F82" w:rsidRPr="00092FC6">
        <w:t xml:space="preserve">inactivated </w:t>
      </w:r>
      <w:r w:rsidRPr="00092FC6">
        <w:t xml:space="preserve">vaccine is stable and immunogenic for </w:t>
      </w:r>
      <w:r w:rsidR="00E13F82" w:rsidRPr="00092FC6">
        <w:t xml:space="preserve">2 </w:t>
      </w:r>
      <w:r w:rsidRPr="00092FC6">
        <w:t xml:space="preserve">years if kept refrigerated at 2–7°C. After </w:t>
      </w:r>
      <w:r w:rsidR="00E13F82" w:rsidRPr="00092FC6">
        <w:t xml:space="preserve">2 </w:t>
      </w:r>
      <w:r w:rsidRPr="00092FC6">
        <w:t>years, vaccine should be discarded.</w:t>
      </w:r>
      <w:r w:rsidR="00F64E23" w:rsidRPr="00092FC6">
        <w:t xml:space="preserve"> Follow recommended expiration dates on packaging.</w:t>
      </w:r>
    </w:p>
    <w:p w14:paraId="4D443EE4" w14:textId="77777777" w:rsidR="001B68A1" w:rsidRPr="00092FC6" w:rsidRDefault="001B68A1" w:rsidP="000A2B05">
      <w:pPr>
        <w:pStyle w:val="A0"/>
        <w:spacing w:after="200"/>
        <w:rPr>
          <w:sz w:val="22"/>
        </w:rPr>
      </w:pPr>
      <w:r w:rsidRPr="00092FC6">
        <w:rPr>
          <w:sz w:val="22"/>
        </w:rPr>
        <w:t>REFERENCES</w:t>
      </w:r>
    </w:p>
    <w:p w14:paraId="63EBB8AD" w14:textId="77777777" w:rsidR="005B0536" w:rsidRPr="00432C0B" w:rsidRDefault="005B0536" w:rsidP="005B0536">
      <w:pPr>
        <w:pStyle w:val="Ref"/>
        <w:rPr>
          <w:smallCaps/>
        </w:rPr>
      </w:pPr>
      <w:r w:rsidRPr="00432C0B">
        <w:rPr>
          <w:smallCaps/>
        </w:rPr>
        <w:t xml:space="preserve">Aguilar P.V., Adams A.P., Suárez V., Beingolea L., Vargas J., Manock S., Freire J., Espinoza W.R., Felices V., Diaz A., Liang X., Roca Y., Weaver S.C. &amp; Kochel T.J. (2009). </w:t>
      </w:r>
      <w:r w:rsidRPr="00432C0B">
        <w:t>Genetic characterization of Venezuelan equine encephalitis virus from Bolivia, Ecuador and Peru: identification of a new subtype ID lineage.</w:t>
      </w:r>
      <w:r w:rsidRPr="00432C0B">
        <w:rPr>
          <w:smallCaps/>
          <w:lang w:val="en-US"/>
        </w:rPr>
        <w:t xml:space="preserve"> </w:t>
      </w:r>
      <w:r w:rsidRPr="00432C0B">
        <w:rPr>
          <w:i/>
        </w:rPr>
        <w:t>PLoS Negl. Trop. Dis.,</w:t>
      </w:r>
      <w:r w:rsidRPr="00432C0B">
        <w:rPr>
          <w:smallCaps/>
          <w:lang w:val="en-US"/>
        </w:rPr>
        <w:t xml:space="preserve"> </w:t>
      </w:r>
      <w:r w:rsidRPr="00432C0B">
        <w:rPr>
          <w:b/>
          <w:smallCaps/>
          <w:lang w:val="en-US"/>
        </w:rPr>
        <w:t>3</w:t>
      </w:r>
      <w:r w:rsidRPr="00432C0B">
        <w:rPr>
          <w:smallCaps/>
          <w:lang w:val="en-US"/>
        </w:rPr>
        <w:t xml:space="preserve">, </w:t>
      </w:r>
      <w:r w:rsidRPr="00432C0B">
        <w:rPr>
          <w:lang w:val="en-US"/>
        </w:rPr>
        <w:t>e</w:t>
      </w:r>
      <w:r w:rsidRPr="00432C0B">
        <w:rPr>
          <w:smallCaps/>
          <w:lang w:val="en-US"/>
        </w:rPr>
        <w:t>514.</w:t>
      </w:r>
      <w:r w:rsidRPr="00432C0B">
        <w:rPr>
          <w:smallCaps/>
        </w:rPr>
        <w:t xml:space="preserve"> </w:t>
      </w:r>
    </w:p>
    <w:p w14:paraId="6518AB46" w14:textId="77777777" w:rsidR="005B0536" w:rsidRPr="00F122E3" w:rsidRDefault="005B0536" w:rsidP="005B0536">
      <w:pPr>
        <w:pStyle w:val="Ref"/>
      </w:pPr>
      <w:r w:rsidRPr="00F122E3">
        <w:rPr>
          <w:smallCaps/>
        </w:rPr>
        <w:t>American Committee on Arthropod-Borne Viruses</w:t>
      </w:r>
      <w:r w:rsidRPr="00F122E3">
        <w:t xml:space="preserve"> (ACAV), </w:t>
      </w:r>
      <w:r w:rsidRPr="00F122E3">
        <w:rPr>
          <w:smallCaps/>
        </w:rPr>
        <w:t xml:space="preserve">Subcommittee on Arbovirus Laboratory Safety </w:t>
      </w:r>
      <w:r w:rsidRPr="00F122E3">
        <w:t xml:space="preserve">(1980). Laboratory safety for arboviruses and certain viruses of vertebrates. </w:t>
      </w:r>
      <w:r w:rsidRPr="00F122E3">
        <w:rPr>
          <w:i/>
        </w:rPr>
        <w:t>Am. J. Trop. Med. Hyg.,</w:t>
      </w:r>
      <w:r w:rsidRPr="00F122E3">
        <w:t xml:space="preserve"> </w:t>
      </w:r>
      <w:r w:rsidRPr="00F122E3">
        <w:rPr>
          <w:b/>
        </w:rPr>
        <w:t>29</w:t>
      </w:r>
      <w:r w:rsidRPr="00F122E3">
        <w:t>, 1359–1381.</w:t>
      </w:r>
    </w:p>
    <w:p w14:paraId="204FCF97" w14:textId="3E0B11C2" w:rsidR="00F2406A" w:rsidRPr="004E39F4" w:rsidRDefault="00F2406A" w:rsidP="00F2406A">
      <w:pPr>
        <w:pStyle w:val="Ref"/>
        <w:rPr>
          <w:u w:val="double"/>
        </w:rPr>
      </w:pPr>
      <w:r w:rsidRPr="00F122E3">
        <w:rPr>
          <w:smallCaps/>
          <w:u w:val="double"/>
          <w:lang w:val="es-ES"/>
        </w:rPr>
        <w:t>A</w:t>
      </w:r>
      <w:r w:rsidRPr="004E39F4">
        <w:rPr>
          <w:smallCaps/>
          <w:u w:val="double"/>
          <w:lang w:val="es-ES"/>
        </w:rPr>
        <w:t>rechiga-Ceballos N. &amp; Aguilar-Setien A</w:t>
      </w:r>
      <w:r w:rsidR="00326B91" w:rsidRPr="004E39F4">
        <w:rPr>
          <w:u w:val="double"/>
          <w:lang w:val="es-ES"/>
        </w:rPr>
        <w:t xml:space="preserve">. (2015). </w:t>
      </w:r>
      <w:r w:rsidR="00326B91" w:rsidRPr="004E39F4">
        <w:rPr>
          <w:u w:val="double"/>
        </w:rPr>
        <w:t>A</w:t>
      </w:r>
      <w:r w:rsidRPr="004E39F4">
        <w:rPr>
          <w:u w:val="double"/>
        </w:rPr>
        <w:t>l</w:t>
      </w:r>
      <w:r w:rsidR="00326B91" w:rsidRPr="004E39F4">
        <w:rPr>
          <w:u w:val="double"/>
        </w:rPr>
        <w:t>p</w:t>
      </w:r>
      <w:r w:rsidRPr="004E39F4">
        <w:rPr>
          <w:u w:val="double"/>
        </w:rPr>
        <w:t xml:space="preserve">haviral equine encephalomyelitis (Eastern, Western and Venezuelan). </w:t>
      </w:r>
      <w:r w:rsidRPr="004E39F4">
        <w:rPr>
          <w:i/>
          <w:iCs/>
          <w:u w:val="double"/>
        </w:rPr>
        <w:t xml:space="preserve">Rev. Sci. </w:t>
      </w:r>
      <w:r w:rsidR="007F14E4" w:rsidRPr="004E39F4">
        <w:rPr>
          <w:i/>
          <w:iCs/>
          <w:u w:val="double"/>
        </w:rPr>
        <w:t xml:space="preserve">Tech. </w:t>
      </w:r>
      <w:r w:rsidRPr="004E39F4">
        <w:rPr>
          <w:i/>
          <w:iCs/>
          <w:u w:val="double"/>
        </w:rPr>
        <w:t>Off. Int. Epiz</w:t>
      </w:r>
      <w:r w:rsidRPr="004E39F4">
        <w:rPr>
          <w:u w:val="double"/>
        </w:rPr>
        <w:t>.</w:t>
      </w:r>
      <w:r w:rsidR="007F14E4" w:rsidRPr="004E39F4">
        <w:rPr>
          <w:u w:val="double"/>
        </w:rPr>
        <w:t>,</w:t>
      </w:r>
      <w:r w:rsidRPr="004E39F4">
        <w:rPr>
          <w:u w:val="double"/>
        </w:rPr>
        <w:t xml:space="preserve"> </w:t>
      </w:r>
      <w:r w:rsidRPr="004E39F4">
        <w:rPr>
          <w:b/>
          <w:u w:val="double"/>
        </w:rPr>
        <w:t>34</w:t>
      </w:r>
      <w:r w:rsidRPr="004E39F4">
        <w:rPr>
          <w:u w:val="double"/>
        </w:rPr>
        <w:t>, 491</w:t>
      </w:r>
      <w:r w:rsidR="007F14E4" w:rsidRPr="004E39F4">
        <w:rPr>
          <w:u w:val="double"/>
        </w:rPr>
        <w:t>–</w:t>
      </w:r>
      <w:r w:rsidRPr="004E39F4">
        <w:rPr>
          <w:u w:val="double"/>
        </w:rPr>
        <w:t>501.</w:t>
      </w:r>
    </w:p>
    <w:p w14:paraId="1CB424FE" w14:textId="0FD321D7" w:rsidR="00A533AA" w:rsidRPr="004F69FF" w:rsidRDefault="00A533AA" w:rsidP="00A533AA">
      <w:pPr>
        <w:pStyle w:val="Ref"/>
        <w:rPr>
          <w:smallCaps/>
          <w:lang w:val="de-DE"/>
        </w:rPr>
      </w:pPr>
      <w:r w:rsidRPr="004F69FF">
        <w:rPr>
          <w:smallCaps/>
          <w:lang w:val="de-DE"/>
        </w:rPr>
        <w:t>Arrigo N.C., Adams, A.P.</w:t>
      </w:r>
      <w:r w:rsidR="004A56C7" w:rsidRPr="004F69FF">
        <w:rPr>
          <w:smallCaps/>
          <w:lang w:val="de-DE"/>
        </w:rPr>
        <w:t xml:space="preserve"> &amp;</w:t>
      </w:r>
      <w:r w:rsidRPr="004F69FF">
        <w:rPr>
          <w:smallCaps/>
          <w:lang w:val="de-DE"/>
        </w:rPr>
        <w:t xml:space="preserve"> Weaver S.C. (2010) </w:t>
      </w:r>
      <w:r w:rsidR="0043677A" w:rsidRPr="004F69FF">
        <w:rPr>
          <w:lang w:val="de-DE"/>
        </w:rPr>
        <w:t>E</w:t>
      </w:r>
      <w:r w:rsidRPr="004F69FF">
        <w:rPr>
          <w:lang w:val="de-DE"/>
        </w:rPr>
        <w:t>volutionary patterns of easte</w:t>
      </w:r>
      <w:r w:rsidR="0043677A" w:rsidRPr="004F69FF">
        <w:rPr>
          <w:lang w:val="de-DE"/>
        </w:rPr>
        <w:t>rn equine encephalitis virus in N</w:t>
      </w:r>
      <w:r w:rsidRPr="004F69FF">
        <w:rPr>
          <w:lang w:val="de-DE"/>
        </w:rPr>
        <w:t>orth</w:t>
      </w:r>
      <w:r w:rsidR="0043677A" w:rsidRPr="004F69FF">
        <w:rPr>
          <w:lang w:val="de-DE"/>
        </w:rPr>
        <w:t xml:space="preserve"> versus South A</w:t>
      </w:r>
      <w:r w:rsidRPr="004F69FF">
        <w:rPr>
          <w:lang w:val="de-DE"/>
        </w:rPr>
        <w:t>merica suggest ecological differences and</w:t>
      </w:r>
      <w:r w:rsidR="0043677A" w:rsidRPr="004F69FF">
        <w:rPr>
          <w:lang w:val="de-DE"/>
        </w:rPr>
        <w:t xml:space="preserve"> </w:t>
      </w:r>
      <w:r w:rsidRPr="004F69FF">
        <w:rPr>
          <w:lang w:val="de-DE"/>
        </w:rPr>
        <w:t>taxonomic revision</w:t>
      </w:r>
      <w:r w:rsidR="0043677A" w:rsidRPr="004F69FF">
        <w:rPr>
          <w:lang w:val="de-DE"/>
        </w:rPr>
        <w:t xml:space="preserve">. </w:t>
      </w:r>
      <w:r w:rsidR="0043677A" w:rsidRPr="004F69FF">
        <w:rPr>
          <w:i/>
          <w:lang w:val="de-DE"/>
        </w:rPr>
        <w:t>J</w:t>
      </w:r>
      <w:r w:rsidR="004A56C7" w:rsidRPr="004F69FF">
        <w:rPr>
          <w:i/>
          <w:lang w:val="de-DE"/>
        </w:rPr>
        <w:t>.</w:t>
      </w:r>
      <w:r w:rsidR="0043677A" w:rsidRPr="004F69FF">
        <w:rPr>
          <w:i/>
          <w:lang w:val="de-DE"/>
        </w:rPr>
        <w:t xml:space="preserve"> Virol.</w:t>
      </w:r>
      <w:r w:rsidR="004A56C7" w:rsidRPr="004F69FF">
        <w:rPr>
          <w:i/>
          <w:lang w:val="de-DE"/>
        </w:rPr>
        <w:t>,</w:t>
      </w:r>
      <w:r w:rsidR="0043677A" w:rsidRPr="004F69FF">
        <w:rPr>
          <w:i/>
          <w:lang w:val="de-DE"/>
        </w:rPr>
        <w:t xml:space="preserve"> </w:t>
      </w:r>
      <w:r w:rsidR="004A56C7" w:rsidRPr="004F69FF">
        <w:rPr>
          <w:b/>
          <w:lang w:val="de-DE"/>
        </w:rPr>
        <w:t>84</w:t>
      </w:r>
      <w:r w:rsidR="0043677A" w:rsidRPr="004F69FF">
        <w:rPr>
          <w:lang w:val="de-DE"/>
        </w:rPr>
        <w:t xml:space="preserve">, </w:t>
      </w:r>
      <w:r w:rsidR="0043677A" w:rsidRPr="004F69FF">
        <w:rPr>
          <w:smallCaps/>
          <w:lang w:val="de-DE"/>
        </w:rPr>
        <w:t>1014</w:t>
      </w:r>
      <w:r w:rsidR="004A56C7" w:rsidRPr="004F69FF">
        <w:rPr>
          <w:smallCaps/>
          <w:lang w:val="de-DE"/>
        </w:rPr>
        <w:t>–</w:t>
      </w:r>
      <w:r w:rsidR="0043677A" w:rsidRPr="004F69FF">
        <w:rPr>
          <w:smallCaps/>
          <w:lang w:val="de-DE"/>
        </w:rPr>
        <w:t>1025</w:t>
      </w:r>
      <w:r w:rsidR="004A56C7" w:rsidRPr="004F69FF">
        <w:rPr>
          <w:smallCaps/>
          <w:lang w:val="de-DE"/>
        </w:rPr>
        <w:t>.</w:t>
      </w:r>
    </w:p>
    <w:p w14:paraId="7E6F81E1" w14:textId="77777777" w:rsidR="005B0536" w:rsidRPr="00DA61B3" w:rsidRDefault="005B0536" w:rsidP="00D675DD">
      <w:pPr>
        <w:pStyle w:val="Ref"/>
      </w:pPr>
      <w:r w:rsidRPr="00DA61B3">
        <w:rPr>
          <w:smallCaps/>
          <w:lang w:val="de-DE"/>
        </w:rPr>
        <w:t xml:space="preserve">Bauer R.W., Gill M.S., Poston R.B. &amp; Kim D. Y. </w:t>
      </w:r>
      <w:r w:rsidRPr="00DA61B3">
        <w:rPr>
          <w:lang w:val="de-DE"/>
        </w:rPr>
        <w:t xml:space="preserve">(2005). </w:t>
      </w:r>
      <w:r w:rsidRPr="00DA61B3">
        <w:t xml:space="preserve">Naturally occurring eastern equine encephalitis in a Hampshire wether. </w:t>
      </w:r>
      <w:r w:rsidRPr="00DA61B3">
        <w:rPr>
          <w:i/>
        </w:rPr>
        <w:t>J. Vet. Diagn. Invest.,</w:t>
      </w:r>
      <w:r w:rsidRPr="00DA61B3">
        <w:t xml:space="preserve"> </w:t>
      </w:r>
      <w:r w:rsidRPr="00DA61B3">
        <w:rPr>
          <w:b/>
        </w:rPr>
        <w:t>17</w:t>
      </w:r>
      <w:r w:rsidRPr="00DA61B3">
        <w:t xml:space="preserve">, 281–285. </w:t>
      </w:r>
    </w:p>
    <w:p w14:paraId="16D692B2" w14:textId="77777777" w:rsidR="005B0536" w:rsidRPr="00432C0B" w:rsidRDefault="005B0536" w:rsidP="005B0536">
      <w:pPr>
        <w:pStyle w:val="Ref"/>
      </w:pPr>
      <w:r w:rsidRPr="00432C0B">
        <w:rPr>
          <w:smallCaps/>
        </w:rPr>
        <w:lastRenderedPageBreak/>
        <w:t>Berge T.O., Banks I.S. &amp; Tigertt W.D</w:t>
      </w:r>
      <w:r w:rsidRPr="00432C0B">
        <w:t xml:space="preserve">. (1961). Attenuation of Venezuelan equine encephalomyelitis virus by </w:t>
      </w:r>
      <w:r w:rsidRPr="00432C0B">
        <w:rPr>
          <w:i/>
        </w:rPr>
        <w:t>in vitro</w:t>
      </w:r>
      <w:r w:rsidRPr="00432C0B">
        <w:t xml:space="preserve"> cultivation in guinea pig heart cells. </w:t>
      </w:r>
      <w:r w:rsidRPr="00432C0B">
        <w:rPr>
          <w:i/>
        </w:rPr>
        <w:t>Am. J. Hyg.,</w:t>
      </w:r>
      <w:r w:rsidRPr="00432C0B">
        <w:t xml:space="preserve"> </w:t>
      </w:r>
      <w:r w:rsidRPr="00432C0B">
        <w:rPr>
          <w:b/>
        </w:rPr>
        <w:t>73</w:t>
      </w:r>
      <w:r w:rsidRPr="00432C0B">
        <w:t>, 209–218.</w:t>
      </w:r>
    </w:p>
    <w:p w14:paraId="40C6772D" w14:textId="025A458D" w:rsidR="005B0536" w:rsidRPr="00F122E3" w:rsidRDefault="005B0536" w:rsidP="00D675DD">
      <w:pPr>
        <w:pStyle w:val="Ref"/>
        <w:rPr>
          <w:smallCaps/>
        </w:rPr>
      </w:pPr>
      <w:r w:rsidRPr="00F122E3">
        <w:rPr>
          <w:smallCaps/>
          <w:lang w:val="en-US"/>
        </w:rPr>
        <w:t>Bingham A.M., Graham S.P., Burkett-Cadena N.D., White G.S., Hassan H.K. &amp; Unnasch T.R.</w:t>
      </w:r>
      <w:r w:rsidRPr="00F122E3">
        <w:rPr>
          <w:lang w:val="en-US"/>
        </w:rPr>
        <w:t xml:space="preserve"> (2012). Detection of eastern equine encephalomyelitis virus RNA in North American snakes. </w:t>
      </w:r>
      <w:r w:rsidRPr="00F122E3">
        <w:rPr>
          <w:rStyle w:val="jrnl"/>
          <w:i/>
          <w:lang w:val="en-US"/>
        </w:rPr>
        <w:t>Am. J. Trop. Med. Hyg</w:t>
      </w:r>
      <w:r w:rsidRPr="00F122E3">
        <w:rPr>
          <w:i/>
          <w:lang w:val="en-US"/>
        </w:rPr>
        <w:t>.</w:t>
      </w:r>
      <w:r w:rsidRPr="00F122E3">
        <w:rPr>
          <w:lang w:val="en-US"/>
        </w:rPr>
        <w:t xml:space="preserve">, </w:t>
      </w:r>
      <w:r w:rsidRPr="00F122E3">
        <w:rPr>
          <w:b/>
          <w:lang w:val="en-US"/>
        </w:rPr>
        <w:t>87</w:t>
      </w:r>
      <w:r w:rsidRPr="00F122E3">
        <w:rPr>
          <w:lang w:val="en-US"/>
        </w:rPr>
        <w:t>, 1140–1144.</w:t>
      </w:r>
    </w:p>
    <w:p w14:paraId="18D6E240" w14:textId="77777777" w:rsidR="005B0536" w:rsidRPr="00F12378" w:rsidRDefault="005B0536" w:rsidP="00D675DD">
      <w:pPr>
        <w:pStyle w:val="Ref"/>
      </w:pPr>
      <w:r w:rsidRPr="00F12378">
        <w:rPr>
          <w:smallCaps/>
        </w:rPr>
        <w:t>Brown T.M., Mitchell C.J., Nasci R.S., Smith G.C. &amp; Roehrig J.T</w:t>
      </w:r>
      <w:r w:rsidRPr="00F12378">
        <w:t xml:space="preserve">. (2001). Detection of eastern equine encephalitis virus in infected mosquitoes using a monoclonal antibody-based antigen-capture enzyme-linked immunosorbent assay. </w:t>
      </w:r>
      <w:r w:rsidRPr="00F12378">
        <w:rPr>
          <w:i/>
          <w:iCs/>
        </w:rPr>
        <w:t>Am. J. Trop. Med. Hyg</w:t>
      </w:r>
      <w:r w:rsidRPr="00F12378">
        <w:t xml:space="preserve">., </w:t>
      </w:r>
      <w:r w:rsidRPr="00F12378">
        <w:rPr>
          <w:b/>
          <w:bCs/>
        </w:rPr>
        <w:t>65</w:t>
      </w:r>
      <w:r w:rsidRPr="00F12378">
        <w:t>, 208–213.</w:t>
      </w:r>
    </w:p>
    <w:p w14:paraId="06B2701E" w14:textId="77777777" w:rsidR="005B0536" w:rsidRPr="00F21D87" w:rsidRDefault="005B0536" w:rsidP="005B0536">
      <w:pPr>
        <w:pStyle w:val="Ref"/>
      </w:pPr>
      <w:r w:rsidRPr="00F21D87">
        <w:rPr>
          <w:smallCaps/>
        </w:rPr>
        <w:t>Calisher C.H., Shope R.E., Brandt W., Casals J., Karabatsos N., Murphy F.A., Tesh R.B. &amp; Wiebe</w:t>
      </w:r>
      <w:r w:rsidRPr="00F21D87">
        <w:t xml:space="preserve"> M.E. (1980). Proposed antigenic classification of registered arboviruses. I. </w:t>
      </w:r>
      <w:r w:rsidRPr="00F21D87">
        <w:rPr>
          <w:i/>
        </w:rPr>
        <w:t>Togavirus Alphavirus. Intervirology</w:t>
      </w:r>
      <w:r w:rsidRPr="00F21D87">
        <w:t xml:space="preserve">, </w:t>
      </w:r>
      <w:r w:rsidRPr="00F21D87">
        <w:rPr>
          <w:b/>
        </w:rPr>
        <w:t>14</w:t>
      </w:r>
      <w:r w:rsidRPr="00F21D87">
        <w:t>, 229–232.</w:t>
      </w:r>
    </w:p>
    <w:p w14:paraId="6EBD6A16" w14:textId="6B45B1FE" w:rsidR="0043677A" w:rsidRPr="004F69FF" w:rsidRDefault="0043677A" w:rsidP="004B3656">
      <w:pPr>
        <w:pStyle w:val="Ref"/>
        <w:rPr>
          <w:smallCaps/>
          <w:lang w:val="en-US"/>
        </w:rPr>
      </w:pPr>
      <w:r w:rsidRPr="004F69FF">
        <w:rPr>
          <w:smallCaps/>
        </w:rPr>
        <w:t>Carrera J</w:t>
      </w:r>
      <w:r w:rsidR="00627D1D" w:rsidRPr="004F69FF">
        <w:rPr>
          <w:smallCaps/>
        </w:rPr>
        <w:t>.</w:t>
      </w:r>
      <w:r w:rsidRPr="004F69FF">
        <w:rPr>
          <w:smallCaps/>
        </w:rPr>
        <w:t>-P</w:t>
      </w:r>
      <w:r w:rsidR="00627D1D" w:rsidRPr="004F69FF">
        <w:rPr>
          <w:smallCaps/>
        </w:rPr>
        <w:t>.</w:t>
      </w:r>
      <w:r w:rsidRPr="004F69FF">
        <w:rPr>
          <w:smallCaps/>
        </w:rPr>
        <w:t>, Forrester N</w:t>
      </w:r>
      <w:r w:rsidR="00627D1D" w:rsidRPr="004F69FF">
        <w:rPr>
          <w:smallCaps/>
        </w:rPr>
        <w:t>.</w:t>
      </w:r>
      <w:r w:rsidRPr="004F69FF">
        <w:rPr>
          <w:smallCaps/>
        </w:rPr>
        <w:t>, Wang E</w:t>
      </w:r>
      <w:r w:rsidR="00627D1D" w:rsidRPr="004F69FF">
        <w:rPr>
          <w:smallCaps/>
        </w:rPr>
        <w:t>., Vittor A.Y., Haddow A.</w:t>
      </w:r>
      <w:r w:rsidRPr="004F69FF">
        <w:rPr>
          <w:smallCaps/>
        </w:rPr>
        <w:t>D., Ló</w:t>
      </w:r>
      <w:r w:rsidR="004B3656" w:rsidRPr="004F69FF">
        <w:rPr>
          <w:smallCaps/>
        </w:rPr>
        <w:t>pez-Vergés S.</w:t>
      </w:r>
      <w:r w:rsidR="00627D1D" w:rsidRPr="004F69FF">
        <w:rPr>
          <w:smallCaps/>
        </w:rPr>
        <w:t>,</w:t>
      </w:r>
      <w:r w:rsidR="004B3656" w:rsidRPr="004F69FF">
        <w:rPr>
          <w:smallCaps/>
        </w:rPr>
        <w:t xml:space="preserve"> Abadía I., Castaño E., Sosa N., Báez C., Estripeaut D., Díaz Y., Beltrán D., Cisneros J., Cedeño H. G., Travassos da Rosa A.P., Hernandez H.</w:t>
      </w:r>
      <w:r w:rsidR="00627D1D" w:rsidRPr="004F69FF">
        <w:rPr>
          <w:smallCaps/>
        </w:rPr>
        <w:t>, Martínez-Torres A.O., Tesh R.B. &amp; Weaver S.</w:t>
      </w:r>
      <w:r w:rsidR="004B3656" w:rsidRPr="004F69FF">
        <w:rPr>
          <w:smallCaps/>
        </w:rPr>
        <w:t>C. (2013)</w:t>
      </w:r>
      <w:r w:rsidR="00627D1D" w:rsidRPr="004F69FF">
        <w:rPr>
          <w:smallCaps/>
        </w:rPr>
        <w:t>.</w:t>
      </w:r>
      <w:r w:rsidR="004B3656" w:rsidRPr="004F69FF">
        <w:rPr>
          <w:smallCaps/>
        </w:rPr>
        <w:t xml:space="preserve"> </w:t>
      </w:r>
      <w:r w:rsidR="004B3656" w:rsidRPr="004F69FF">
        <w:rPr>
          <w:lang w:val="en-US"/>
        </w:rPr>
        <w:t xml:space="preserve">Eastern Equine Encephalitis in Latin America. </w:t>
      </w:r>
      <w:r w:rsidR="004B3656" w:rsidRPr="004F69FF">
        <w:rPr>
          <w:i/>
          <w:lang w:val="en-US"/>
        </w:rPr>
        <w:t>N</w:t>
      </w:r>
      <w:r w:rsidR="00894F1C" w:rsidRPr="004F69FF">
        <w:rPr>
          <w:i/>
          <w:lang w:val="en-US"/>
        </w:rPr>
        <w:t>.</w:t>
      </w:r>
      <w:r w:rsidR="004B3656" w:rsidRPr="004F69FF">
        <w:rPr>
          <w:i/>
          <w:lang w:val="en-US"/>
        </w:rPr>
        <w:t xml:space="preserve"> Engl</w:t>
      </w:r>
      <w:r w:rsidR="00894F1C" w:rsidRPr="004F69FF">
        <w:rPr>
          <w:i/>
          <w:lang w:val="en-US"/>
        </w:rPr>
        <w:t>.</w:t>
      </w:r>
      <w:r w:rsidR="004B3656" w:rsidRPr="004F69FF">
        <w:rPr>
          <w:i/>
          <w:lang w:val="en-US"/>
        </w:rPr>
        <w:t xml:space="preserve"> J</w:t>
      </w:r>
      <w:r w:rsidR="00894F1C" w:rsidRPr="004F69FF">
        <w:rPr>
          <w:i/>
          <w:lang w:val="en-US"/>
        </w:rPr>
        <w:t>.</w:t>
      </w:r>
      <w:r w:rsidR="004B3656" w:rsidRPr="004F69FF">
        <w:rPr>
          <w:i/>
          <w:lang w:val="en-US"/>
        </w:rPr>
        <w:t xml:space="preserve"> Med</w:t>
      </w:r>
      <w:r w:rsidR="001C3C90" w:rsidRPr="004F69FF">
        <w:rPr>
          <w:lang w:val="en-US"/>
        </w:rPr>
        <w:t>.</w:t>
      </w:r>
      <w:r w:rsidR="00894F1C" w:rsidRPr="004F69FF">
        <w:rPr>
          <w:lang w:val="en-US"/>
        </w:rPr>
        <w:t>,</w:t>
      </w:r>
      <w:r w:rsidR="001C3C90" w:rsidRPr="004F69FF">
        <w:rPr>
          <w:lang w:val="en-US"/>
        </w:rPr>
        <w:t xml:space="preserve"> </w:t>
      </w:r>
      <w:r w:rsidR="001C3C90" w:rsidRPr="004F69FF">
        <w:rPr>
          <w:b/>
          <w:lang w:val="en-US"/>
        </w:rPr>
        <w:t>369</w:t>
      </w:r>
      <w:r w:rsidR="001C3C90" w:rsidRPr="004F69FF">
        <w:rPr>
          <w:lang w:val="en-US"/>
        </w:rPr>
        <w:t>, 732</w:t>
      </w:r>
      <w:r w:rsidR="00627D1D" w:rsidRPr="004F69FF">
        <w:rPr>
          <w:lang w:val="en-US"/>
        </w:rPr>
        <w:t>–7</w:t>
      </w:r>
      <w:r w:rsidR="001C3C90" w:rsidRPr="004F69FF">
        <w:rPr>
          <w:lang w:val="en-US"/>
        </w:rPr>
        <w:t>44.</w:t>
      </w:r>
    </w:p>
    <w:p w14:paraId="0683F197" w14:textId="77777777" w:rsidR="005B0536" w:rsidRPr="00DA61B3" w:rsidRDefault="005B0536" w:rsidP="00D675DD">
      <w:pPr>
        <w:pStyle w:val="Ref"/>
      </w:pPr>
      <w:r w:rsidRPr="00DA61B3">
        <w:rPr>
          <w:smallCaps/>
        </w:rPr>
        <w:t>Elvinger F., Baldwin C.A., Liggett A.D., Tank K.N., &amp; Stallknecht D.E.</w:t>
      </w:r>
      <w:r w:rsidRPr="00DA61B3">
        <w:t xml:space="preserve"> (1996). Prevalence of exposure to eastern equine encephalomyelitis virus in domestic and feral swine in Georgia. </w:t>
      </w:r>
      <w:r w:rsidRPr="00DA61B3">
        <w:rPr>
          <w:i/>
        </w:rPr>
        <w:t>J. Vet. Diagn. Invest</w:t>
      </w:r>
      <w:r w:rsidRPr="00DA61B3">
        <w:t xml:space="preserve">., </w:t>
      </w:r>
      <w:r w:rsidRPr="00DA61B3">
        <w:rPr>
          <w:b/>
        </w:rPr>
        <w:t>8</w:t>
      </w:r>
      <w:r w:rsidRPr="00DA61B3">
        <w:t>, 481–484.</w:t>
      </w:r>
    </w:p>
    <w:p w14:paraId="0ED7D44C" w14:textId="6F91344C" w:rsidR="005B0536" w:rsidRPr="00F12378" w:rsidRDefault="005B0536" w:rsidP="005B0536">
      <w:pPr>
        <w:pStyle w:val="Ref"/>
      </w:pPr>
      <w:r w:rsidRPr="00F12378">
        <w:rPr>
          <w:smallCaps/>
        </w:rPr>
        <w:t>Eshoo M.W., Whitehouse C.A., Zoll S.T., Massire C., Pennella T.T., Blyn L.B., Sampath R., Hall T.A., Ecker J.A., Desai A., Wasieloski L.P., Li F., Turell M.J., Schink A., Rudnick K., Otero G., Weaver S.C., Ludwig G.V., Hofstadler S.A. &amp; Ecker D.J.</w:t>
      </w:r>
      <w:r w:rsidRPr="00F12378">
        <w:t xml:space="preserve"> (2007). Direct broad-range detection of alphaviruses in mosquito extracts. </w:t>
      </w:r>
      <w:r w:rsidRPr="00F12378">
        <w:rPr>
          <w:i/>
        </w:rPr>
        <w:t>Virology</w:t>
      </w:r>
      <w:r w:rsidR="00894F1C" w:rsidRPr="00F12378">
        <w:t>,</w:t>
      </w:r>
      <w:r w:rsidRPr="00F12378">
        <w:t xml:space="preserve"> </w:t>
      </w:r>
      <w:r w:rsidRPr="00F12378">
        <w:rPr>
          <w:b/>
        </w:rPr>
        <w:t>368</w:t>
      </w:r>
      <w:r w:rsidRPr="00F12378">
        <w:t>, 286</w:t>
      </w:r>
      <w:r w:rsidR="00894F1C" w:rsidRPr="00F12378">
        <w:t>–2</w:t>
      </w:r>
      <w:r w:rsidRPr="00F12378">
        <w:t>95.</w:t>
      </w:r>
    </w:p>
    <w:p w14:paraId="3B3DAC34" w14:textId="77777777" w:rsidR="00240AFB" w:rsidRPr="00EC2E89" w:rsidRDefault="00240AFB" w:rsidP="00240AFB">
      <w:pPr>
        <w:tabs>
          <w:tab w:val="clear" w:pos="-720"/>
        </w:tabs>
        <w:autoSpaceDE w:val="0"/>
        <w:autoSpaceDN w:val="0"/>
        <w:adjustRightInd w:val="0"/>
        <w:spacing w:after="240" w:line="240" w:lineRule="auto"/>
        <w:rPr>
          <w:rFonts w:ascii="Arial" w:hAnsi="Arial" w:cs="Arial"/>
          <w:color w:val="000000"/>
          <w:sz w:val="18"/>
          <w:szCs w:val="18"/>
          <w:u w:val="double"/>
          <w:lang w:val="en-IE" w:eastAsia="en-GB"/>
        </w:rPr>
      </w:pPr>
      <w:r w:rsidRPr="00EC2E89">
        <w:rPr>
          <w:rFonts w:ascii="Arial" w:hAnsi="Arial" w:cs="Arial"/>
          <w:smallCaps/>
          <w:sz w:val="18"/>
          <w:szCs w:val="18"/>
          <w:u w:val="double"/>
        </w:rPr>
        <w:t xml:space="preserve">Estrada-Franco J.G., Navarro-Lopez R., Freier J.E., Cordova D., </w:t>
      </w:r>
      <w:r w:rsidRPr="00EC2E89">
        <w:rPr>
          <w:rStyle w:val="highlight"/>
          <w:rFonts w:ascii="Arial" w:hAnsi="Arial" w:cs="Arial"/>
          <w:smallCaps/>
          <w:sz w:val="18"/>
          <w:szCs w:val="18"/>
          <w:u w:val="double"/>
        </w:rPr>
        <w:t>Clements</w:t>
      </w:r>
      <w:r w:rsidRPr="00EC2E89">
        <w:rPr>
          <w:rFonts w:ascii="Arial" w:hAnsi="Arial" w:cs="Arial"/>
          <w:smallCaps/>
          <w:sz w:val="18"/>
          <w:szCs w:val="18"/>
          <w:u w:val="double"/>
        </w:rPr>
        <w:t xml:space="preserve"> T., Moncayo A., Kang W., Gomez-Hernandez C., Rodriguez-Dominguez G., Ludwig G.V., Weaver S.C. </w:t>
      </w:r>
      <w:r w:rsidRPr="00EC2E89">
        <w:rPr>
          <w:rFonts w:ascii="Arial" w:hAnsi="Arial" w:cs="Arial"/>
          <w:color w:val="000000"/>
          <w:sz w:val="18"/>
          <w:szCs w:val="18"/>
          <w:u w:val="double"/>
          <w:lang w:eastAsia="en-GB"/>
        </w:rPr>
        <w:t xml:space="preserve">(2004). </w:t>
      </w:r>
      <w:r w:rsidRPr="00EC2E89">
        <w:rPr>
          <w:rFonts w:ascii="Arial" w:hAnsi="Arial" w:cs="Arial"/>
          <w:color w:val="000000"/>
          <w:sz w:val="18"/>
          <w:szCs w:val="18"/>
          <w:u w:val="double"/>
          <w:lang w:val="en-IE" w:eastAsia="en-GB"/>
        </w:rPr>
        <w:t xml:space="preserve">Venezuelan equine encephalitis virus, Southern Mexico. </w:t>
      </w:r>
      <w:r w:rsidRPr="00EC2E89">
        <w:rPr>
          <w:rFonts w:ascii="Arial" w:hAnsi="Arial" w:cs="Arial"/>
          <w:i/>
          <w:iCs/>
          <w:color w:val="000000"/>
          <w:sz w:val="18"/>
          <w:szCs w:val="18"/>
          <w:u w:val="double"/>
          <w:lang w:val="en-IE" w:eastAsia="en-GB"/>
        </w:rPr>
        <w:t>Emerg. Infect. Dis</w:t>
      </w:r>
      <w:r w:rsidRPr="00EC2E89">
        <w:rPr>
          <w:rFonts w:ascii="Arial" w:hAnsi="Arial" w:cs="Arial"/>
          <w:color w:val="000000"/>
          <w:sz w:val="18"/>
          <w:szCs w:val="18"/>
          <w:u w:val="double"/>
          <w:lang w:val="en-IE" w:eastAsia="en-GB"/>
        </w:rPr>
        <w:t xml:space="preserve">., </w:t>
      </w:r>
      <w:r w:rsidRPr="00EC2E89">
        <w:rPr>
          <w:rFonts w:ascii="Arial" w:hAnsi="Arial" w:cs="Arial"/>
          <w:b/>
          <w:color w:val="000000"/>
          <w:sz w:val="18"/>
          <w:szCs w:val="18"/>
          <w:u w:val="double"/>
          <w:lang w:val="en-IE" w:eastAsia="en-GB"/>
        </w:rPr>
        <w:t>10</w:t>
      </w:r>
      <w:r w:rsidRPr="00EC2E89">
        <w:rPr>
          <w:rFonts w:ascii="Arial" w:hAnsi="Arial" w:cs="Arial"/>
          <w:color w:val="000000"/>
          <w:sz w:val="18"/>
          <w:szCs w:val="18"/>
          <w:u w:val="double"/>
          <w:lang w:val="en-IE" w:eastAsia="en-GB"/>
        </w:rPr>
        <w:t>, 2113–2121.</w:t>
      </w:r>
    </w:p>
    <w:p w14:paraId="08F8220F" w14:textId="77777777" w:rsidR="005B0536" w:rsidRPr="00DA61B3" w:rsidRDefault="005B0536" w:rsidP="00D675DD">
      <w:pPr>
        <w:pStyle w:val="Ref"/>
      </w:pPr>
      <w:r w:rsidRPr="00DA61B3">
        <w:rPr>
          <w:smallCaps/>
        </w:rPr>
        <w:t xml:space="preserve">Farrar M.D., Miller D. L., Baldwin C. A., Stiver S. L. &amp; Hall C. L. </w:t>
      </w:r>
      <w:r w:rsidRPr="00DA61B3">
        <w:t xml:space="preserve">(2005). Eastern equine encephalitis in dogs. </w:t>
      </w:r>
      <w:r w:rsidRPr="00DA61B3">
        <w:rPr>
          <w:i/>
        </w:rPr>
        <w:t>J. Vet. Diagn. Invest.,</w:t>
      </w:r>
      <w:r w:rsidRPr="00DA61B3">
        <w:t xml:space="preserve"> </w:t>
      </w:r>
      <w:r w:rsidRPr="00DA61B3">
        <w:rPr>
          <w:b/>
        </w:rPr>
        <w:t>17</w:t>
      </w:r>
      <w:r w:rsidRPr="00DA61B3">
        <w:t>, 614–617.</w:t>
      </w:r>
    </w:p>
    <w:p w14:paraId="721A0B95" w14:textId="2C55B156" w:rsidR="00F2406A" w:rsidRPr="00F122E3" w:rsidRDefault="00F2406A" w:rsidP="00F2406A">
      <w:pPr>
        <w:pStyle w:val="Ref"/>
        <w:rPr>
          <w:u w:val="double"/>
        </w:rPr>
      </w:pPr>
      <w:r w:rsidRPr="00F122E3">
        <w:rPr>
          <w:smallCaps/>
          <w:u w:val="double"/>
        </w:rPr>
        <w:t>Go Y.Y., Balasuriya U.B.R.</w:t>
      </w:r>
      <w:r w:rsidR="007F14E4" w:rsidRPr="00F122E3">
        <w:rPr>
          <w:smallCaps/>
          <w:u w:val="double"/>
        </w:rPr>
        <w:t xml:space="preserve"> &amp;</w:t>
      </w:r>
      <w:r w:rsidRPr="00F122E3">
        <w:rPr>
          <w:smallCaps/>
          <w:u w:val="double"/>
        </w:rPr>
        <w:t xml:space="preserve"> Lee C-K</w:t>
      </w:r>
      <w:r w:rsidRPr="00F122E3">
        <w:rPr>
          <w:u w:val="double"/>
        </w:rPr>
        <w:t>. (2014). Zoonotic encephalitides caused by arboviruses: transmission and epidem</w:t>
      </w:r>
      <w:r w:rsidR="00F22AF3" w:rsidRPr="00F122E3">
        <w:rPr>
          <w:u w:val="double"/>
        </w:rPr>
        <w:t>iology of alphaviruses and flavi</w:t>
      </w:r>
      <w:r w:rsidRPr="00F122E3">
        <w:rPr>
          <w:u w:val="double"/>
        </w:rPr>
        <w:t xml:space="preserve">viruses. </w:t>
      </w:r>
      <w:r w:rsidRPr="00F122E3">
        <w:rPr>
          <w:i/>
          <w:iCs/>
          <w:u w:val="double"/>
        </w:rPr>
        <w:t>Clin. Exp. Vaccine Res</w:t>
      </w:r>
      <w:r w:rsidRPr="00F122E3">
        <w:rPr>
          <w:u w:val="double"/>
        </w:rPr>
        <w:t xml:space="preserve">., </w:t>
      </w:r>
      <w:r w:rsidRPr="00F122E3">
        <w:rPr>
          <w:b/>
          <w:u w:val="double"/>
        </w:rPr>
        <w:t>3</w:t>
      </w:r>
      <w:r w:rsidRPr="00F122E3">
        <w:rPr>
          <w:u w:val="double"/>
        </w:rPr>
        <w:t>, 58</w:t>
      </w:r>
      <w:r w:rsidR="007F14E4" w:rsidRPr="00F122E3">
        <w:rPr>
          <w:u w:val="double"/>
        </w:rPr>
        <w:t>–</w:t>
      </w:r>
      <w:r w:rsidRPr="00F122E3">
        <w:rPr>
          <w:u w:val="double"/>
        </w:rPr>
        <w:t>77.</w:t>
      </w:r>
    </w:p>
    <w:p w14:paraId="323F40A3" w14:textId="77777777" w:rsidR="005B0536" w:rsidRPr="006F57FE" w:rsidRDefault="005B0536" w:rsidP="00D675DD">
      <w:pPr>
        <w:pStyle w:val="Ref"/>
      </w:pPr>
      <w:r w:rsidRPr="006F57FE">
        <w:rPr>
          <w:smallCaps/>
        </w:rPr>
        <w:t>Guy J.S.</w:t>
      </w:r>
      <w:r w:rsidRPr="006F57FE">
        <w:t xml:space="preserve"> (1997). Arbovirus Infections. </w:t>
      </w:r>
      <w:r w:rsidRPr="006F57FE">
        <w:rPr>
          <w:i/>
        </w:rPr>
        <w:t>In:</w:t>
      </w:r>
      <w:r w:rsidRPr="006F57FE">
        <w:t xml:space="preserve"> Diseases of Poultry, Calnek B.W., Barnes H.J., Beard C.W., McDougald L.R., &amp; Saif Y.M., ed. Iowa State University Press, Ames, Iowa, USA, 765–772.</w:t>
      </w:r>
    </w:p>
    <w:p w14:paraId="3F9F86FB" w14:textId="77777777" w:rsidR="005B0536" w:rsidRPr="00F122E3" w:rsidRDefault="005B0536" w:rsidP="00D675DD">
      <w:pPr>
        <w:pStyle w:val="Ref"/>
        <w:rPr>
          <w:lang w:val="fr-FR"/>
        </w:rPr>
      </w:pPr>
      <w:r w:rsidRPr="00F122E3">
        <w:rPr>
          <w:smallCaps/>
        </w:rPr>
        <w:t xml:space="preserve">Johnson D.J., Ostlund E.N. &amp; Schmitt B.J. </w:t>
      </w:r>
      <w:r w:rsidRPr="00F122E3">
        <w:t xml:space="preserve">(2003). Nested multiplex RT-PCR for detection and differentiation of West Nile virus and eastern equine encephalomyelitis virus in brain tissues. </w:t>
      </w:r>
      <w:r w:rsidRPr="00F122E3">
        <w:rPr>
          <w:i/>
          <w:lang w:val="fr-FR"/>
        </w:rPr>
        <w:t>J. Vet. Diagn. Invest.,</w:t>
      </w:r>
      <w:r w:rsidRPr="00F122E3">
        <w:rPr>
          <w:lang w:val="fr-FR"/>
        </w:rPr>
        <w:t xml:space="preserve"> </w:t>
      </w:r>
      <w:r w:rsidRPr="00F122E3">
        <w:rPr>
          <w:b/>
          <w:lang w:val="fr-FR"/>
        </w:rPr>
        <w:t>15</w:t>
      </w:r>
      <w:r w:rsidRPr="00F122E3">
        <w:rPr>
          <w:lang w:val="fr-FR"/>
        </w:rPr>
        <w:t>, 488–493.</w:t>
      </w:r>
    </w:p>
    <w:p w14:paraId="660A15E3" w14:textId="1B58B9B2" w:rsidR="005B0536" w:rsidRPr="00F122E3" w:rsidRDefault="005B0536" w:rsidP="005B0536">
      <w:pPr>
        <w:pStyle w:val="Ref"/>
      </w:pPr>
      <w:r w:rsidRPr="00F122E3">
        <w:rPr>
          <w:smallCaps/>
          <w:lang w:val="fr-FR"/>
        </w:rPr>
        <w:t>Kang X., Li Y., Liu H., Lin F., Cai X., Sun T., Chang G., Zhu Q. &amp; Yang Y.</w:t>
      </w:r>
      <w:r w:rsidRPr="00F122E3">
        <w:rPr>
          <w:lang w:val="fr-FR"/>
        </w:rPr>
        <w:t xml:space="preserve"> (2010). </w:t>
      </w:r>
      <w:r w:rsidRPr="00F122E3">
        <w:t xml:space="preserve">A duplex real-time reverse transcriptase polymerase chain reaction assay for detecting western equine and eastern equine encephalitis viruses. </w:t>
      </w:r>
      <w:r w:rsidRPr="00F122E3">
        <w:rPr>
          <w:i/>
        </w:rPr>
        <w:t>Virol J</w:t>
      </w:r>
      <w:r w:rsidRPr="00F122E3">
        <w:t>.</w:t>
      </w:r>
      <w:r w:rsidR="00894F1C" w:rsidRPr="00F122E3">
        <w:t>,</w:t>
      </w:r>
      <w:r w:rsidRPr="00F122E3">
        <w:t xml:space="preserve"> </w:t>
      </w:r>
      <w:r w:rsidRPr="00F122E3">
        <w:rPr>
          <w:b/>
        </w:rPr>
        <w:t>7</w:t>
      </w:r>
      <w:r w:rsidRPr="00F122E3">
        <w:t>, 284.</w:t>
      </w:r>
    </w:p>
    <w:p w14:paraId="2BF682FA" w14:textId="77777777" w:rsidR="005B0536" w:rsidRPr="004F69FF" w:rsidRDefault="005B0536" w:rsidP="00D675DD">
      <w:pPr>
        <w:pStyle w:val="Ref"/>
      </w:pPr>
      <w:r w:rsidRPr="004F69FF">
        <w:rPr>
          <w:smallCaps/>
        </w:rPr>
        <w:t>Karabatsos N., Lewis A.L., Calisher C.H., Hunt A.R. &amp; Roehrig J.T</w:t>
      </w:r>
      <w:r w:rsidRPr="004F69FF">
        <w:t xml:space="preserve">. (1988). Identification of Highland J virus from a Florida horse. </w:t>
      </w:r>
      <w:r w:rsidRPr="004F69FF">
        <w:rPr>
          <w:i/>
        </w:rPr>
        <w:t>Am. J. Trop. Med. Hyg.</w:t>
      </w:r>
      <w:r w:rsidRPr="004F69FF">
        <w:t xml:space="preserve">, </w:t>
      </w:r>
      <w:r w:rsidRPr="004F69FF">
        <w:rPr>
          <w:b/>
        </w:rPr>
        <w:t>39</w:t>
      </w:r>
      <w:r w:rsidRPr="004F69FF">
        <w:t>, 603–606.</w:t>
      </w:r>
    </w:p>
    <w:p w14:paraId="44B92EA1" w14:textId="15B3064F" w:rsidR="00F2406A" w:rsidRPr="004E39F4" w:rsidRDefault="00F2406A" w:rsidP="00F2406A">
      <w:pPr>
        <w:pStyle w:val="Ref"/>
        <w:rPr>
          <w:u w:val="double"/>
        </w:rPr>
      </w:pPr>
      <w:r w:rsidRPr="00EC2E89">
        <w:rPr>
          <w:smallCaps/>
          <w:u w:val="double"/>
          <w:lang w:val="en-IE"/>
        </w:rPr>
        <w:t>Kumar B., Manuja A., Gulati B.R., Virmani N.</w:t>
      </w:r>
      <w:r w:rsidR="007F14E4" w:rsidRPr="00EC2E89">
        <w:rPr>
          <w:smallCaps/>
          <w:u w:val="double"/>
          <w:lang w:val="en-IE"/>
        </w:rPr>
        <w:t xml:space="preserve"> &amp;</w:t>
      </w:r>
      <w:r w:rsidRPr="00EC2E89">
        <w:rPr>
          <w:smallCaps/>
          <w:u w:val="double"/>
          <w:lang w:val="en-IE"/>
        </w:rPr>
        <w:t xml:space="preserve"> </w:t>
      </w:r>
      <w:r w:rsidRPr="004E39F4">
        <w:rPr>
          <w:smallCaps/>
          <w:u w:val="double"/>
        </w:rPr>
        <w:t>Tripathi B.N</w:t>
      </w:r>
      <w:r w:rsidRPr="004E39F4">
        <w:rPr>
          <w:u w:val="double"/>
        </w:rPr>
        <w:t xml:space="preserve">. (2018). Zoonotic Viral Diseases of Equines and Their Impact on </w:t>
      </w:r>
      <w:r w:rsidR="00F22AF3" w:rsidRPr="004E39F4">
        <w:rPr>
          <w:u w:val="double"/>
        </w:rPr>
        <w:t xml:space="preserve">Human </w:t>
      </w:r>
      <w:r w:rsidRPr="004E39F4">
        <w:rPr>
          <w:u w:val="double"/>
        </w:rPr>
        <w:t xml:space="preserve">and Animal Health. </w:t>
      </w:r>
      <w:r w:rsidRPr="004E39F4">
        <w:rPr>
          <w:i/>
          <w:iCs/>
          <w:u w:val="double"/>
        </w:rPr>
        <w:t>Open Vir</w:t>
      </w:r>
      <w:r w:rsidR="001E1BAE" w:rsidRPr="004E39F4">
        <w:rPr>
          <w:i/>
          <w:iCs/>
          <w:u w:val="double"/>
        </w:rPr>
        <w:t>ol</w:t>
      </w:r>
      <w:r w:rsidRPr="004E39F4">
        <w:rPr>
          <w:i/>
          <w:iCs/>
          <w:u w:val="double"/>
        </w:rPr>
        <w:t>. J</w:t>
      </w:r>
      <w:r w:rsidRPr="004E39F4">
        <w:rPr>
          <w:u w:val="double"/>
        </w:rPr>
        <w:t xml:space="preserve">., </w:t>
      </w:r>
      <w:r w:rsidRPr="004E39F4">
        <w:rPr>
          <w:b/>
          <w:u w:val="double"/>
        </w:rPr>
        <w:t>12</w:t>
      </w:r>
      <w:r w:rsidRPr="004E39F4">
        <w:rPr>
          <w:u w:val="double"/>
        </w:rPr>
        <w:t>, 80</w:t>
      </w:r>
      <w:r w:rsidR="007F14E4" w:rsidRPr="004E39F4">
        <w:rPr>
          <w:u w:val="double"/>
        </w:rPr>
        <w:t>–</w:t>
      </w:r>
      <w:r w:rsidRPr="004E39F4">
        <w:rPr>
          <w:u w:val="double"/>
        </w:rPr>
        <w:t>98.</w:t>
      </w:r>
    </w:p>
    <w:p w14:paraId="2B0B7EAC" w14:textId="77777777" w:rsidR="005B0536" w:rsidRPr="00F12378" w:rsidRDefault="005B0536" w:rsidP="00D675DD">
      <w:pPr>
        <w:pStyle w:val="Ref"/>
      </w:pPr>
      <w:r w:rsidRPr="00F12378">
        <w:rPr>
          <w:smallCaps/>
        </w:rPr>
        <w:t xml:space="preserve">Lambert A.J., Martin D.A. &amp; Lanciotti R.S. </w:t>
      </w:r>
      <w:r w:rsidRPr="00F12378">
        <w:t xml:space="preserve">(2003). Detection of North American eastern and western equine encephalitis viruses by nucleic acid amplification assays. </w:t>
      </w:r>
      <w:r w:rsidRPr="00F12378">
        <w:rPr>
          <w:i/>
        </w:rPr>
        <w:t>J. Clin. Microbiol.,</w:t>
      </w:r>
      <w:r w:rsidRPr="00F12378">
        <w:t xml:space="preserve"> </w:t>
      </w:r>
      <w:r w:rsidRPr="00F12378">
        <w:rPr>
          <w:b/>
        </w:rPr>
        <w:t>41</w:t>
      </w:r>
      <w:r w:rsidRPr="00F12378">
        <w:t>, 379–385.</w:t>
      </w:r>
    </w:p>
    <w:p w14:paraId="73075BC1" w14:textId="77777777" w:rsidR="005B0536" w:rsidRPr="00F12378" w:rsidRDefault="005B0536" w:rsidP="00D675DD">
      <w:pPr>
        <w:pStyle w:val="Ref"/>
      </w:pPr>
      <w:r w:rsidRPr="00F12378">
        <w:rPr>
          <w:smallCaps/>
        </w:rPr>
        <w:t>Linssen B., Kinney R.M., Aguilar P., Russell K.L., Watts D.M., Kaaden O.R. &amp; Pfeffer M.</w:t>
      </w:r>
      <w:r w:rsidRPr="00F12378">
        <w:t xml:space="preserve"> (2000). Development of reverse transcription-PCR assays specific for detection of equine encephalitis viruses. </w:t>
      </w:r>
      <w:r w:rsidRPr="00F12378">
        <w:rPr>
          <w:i/>
        </w:rPr>
        <w:t xml:space="preserve">J. Clin. Microbiol., </w:t>
      </w:r>
      <w:r w:rsidRPr="00F12378">
        <w:rPr>
          <w:b/>
        </w:rPr>
        <w:t>38</w:t>
      </w:r>
      <w:r w:rsidRPr="00F12378">
        <w:t>, 527–535.</w:t>
      </w:r>
    </w:p>
    <w:p w14:paraId="7C58020E" w14:textId="77777777" w:rsidR="005B0536" w:rsidRPr="00F122E3" w:rsidRDefault="005B0536" w:rsidP="00D675DD">
      <w:pPr>
        <w:pStyle w:val="Ref"/>
      </w:pPr>
      <w:r w:rsidRPr="00F122E3">
        <w:rPr>
          <w:smallCaps/>
        </w:rPr>
        <w:t>Maire L.F. III, McKinney R.W. &amp; Cole F.</w:t>
      </w:r>
      <w:r w:rsidRPr="00F122E3">
        <w:t xml:space="preserve">E. </w:t>
      </w:r>
      <w:r w:rsidRPr="00F122E3">
        <w:rPr>
          <w:smallCaps/>
        </w:rPr>
        <w:t>Jr</w:t>
      </w:r>
      <w:r w:rsidRPr="00F122E3">
        <w:t xml:space="preserve"> (1970). An inactivated eastern equine encephalomyelitis vaccine propagated in chick-embryo cell culture. I. Production and testing. </w:t>
      </w:r>
      <w:r w:rsidRPr="00F122E3">
        <w:rPr>
          <w:i/>
        </w:rPr>
        <w:t>Am. J. Trop. Med. Hyg</w:t>
      </w:r>
      <w:r w:rsidRPr="00F122E3">
        <w:t xml:space="preserve">., </w:t>
      </w:r>
      <w:r w:rsidRPr="00F122E3">
        <w:rPr>
          <w:b/>
        </w:rPr>
        <w:t>19</w:t>
      </w:r>
      <w:r w:rsidRPr="00F122E3">
        <w:t>, 119–122.</w:t>
      </w:r>
    </w:p>
    <w:p w14:paraId="5753D888" w14:textId="77777777" w:rsidR="005B0536" w:rsidRPr="00DA61B3" w:rsidRDefault="005B0536" w:rsidP="00D675DD">
      <w:pPr>
        <w:pStyle w:val="Ref"/>
      </w:pPr>
      <w:r w:rsidRPr="00DA61B3">
        <w:rPr>
          <w:smallCaps/>
        </w:rPr>
        <w:t>McGee E.D., Littleton C.H., Mapp J.B. &amp; Brown R.J</w:t>
      </w:r>
      <w:r w:rsidRPr="00DA61B3">
        <w:t xml:space="preserve">. (1992). Eastern equine encephalomyelitis in an adult cow. </w:t>
      </w:r>
      <w:r w:rsidRPr="00DA61B3">
        <w:rPr>
          <w:i/>
        </w:rPr>
        <w:t xml:space="preserve">Vet. Pathol., </w:t>
      </w:r>
      <w:r w:rsidRPr="00DA61B3">
        <w:rPr>
          <w:b/>
        </w:rPr>
        <w:t>29</w:t>
      </w:r>
      <w:r w:rsidRPr="00DA61B3">
        <w:t>, 361–363.</w:t>
      </w:r>
    </w:p>
    <w:p w14:paraId="46A6C694" w14:textId="1767B43D" w:rsidR="005B0536" w:rsidRPr="00F21D87" w:rsidRDefault="005B0536" w:rsidP="005B0536">
      <w:pPr>
        <w:pStyle w:val="Ref"/>
        <w:rPr>
          <w:smallCaps/>
        </w:rPr>
      </w:pPr>
      <w:r w:rsidRPr="00F21D87">
        <w:rPr>
          <w:smallCaps/>
          <w:lang w:val="en-IE"/>
        </w:rPr>
        <w:lastRenderedPageBreak/>
        <w:t>Medina G., G</w:t>
      </w:r>
      <w:r w:rsidR="00F21D87">
        <w:rPr>
          <w:smallCaps/>
          <w:lang w:val="en-IE"/>
        </w:rPr>
        <w:t>a</w:t>
      </w:r>
      <w:r w:rsidRPr="00F21D87">
        <w:rPr>
          <w:smallCaps/>
          <w:lang w:val="en-IE"/>
        </w:rPr>
        <w:t xml:space="preserve">rzaro D.J., Barrios M., Auguste A.J., Weaver S.C. &amp; Pujol F.H. (2015). </w:t>
      </w:r>
      <w:r w:rsidRPr="00F21D87">
        <w:t xml:space="preserve">Genetic diversity of Venezuelan alphaviruses and circulation of a Venezuelan equine encephalitis virus subtype IAB strain during an interepizootic period. </w:t>
      </w:r>
      <w:r w:rsidRPr="00F21D87">
        <w:rPr>
          <w:i/>
          <w:lang w:val="en"/>
        </w:rPr>
        <w:t>Am. J. Trop. Med.</w:t>
      </w:r>
      <w:r w:rsidR="00F21D87">
        <w:rPr>
          <w:i/>
          <w:lang w:val="en"/>
        </w:rPr>
        <w:t xml:space="preserve"> </w:t>
      </w:r>
      <w:r w:rsidRPr="00F21D87">
        <w:rPr>
          <w:i/>
          <w:lang w:val="en"/>
        </w:rPr>
        <w:t>Hyg</w:t>
      </w:r>
      <w:r w:rsidRPr="00F21D87">
        <w:rPr>
          <w:smallCaps/>
        </w:rPr>
        <w:t xml:space="preserve">., </w:t>
      </w:r>
      <w:r w:rsidRPr="00F21D87">
        <w:rPr>
          <w:b/>
          <w:smallCaps/>
          <w:lang w:val="en"/>
        </w:rPr>
        <w:t>93</w:t>
      </w:r>
      <w:r w:rsidRPr="00F21D87">
        <w:rPr>
          <w:smallCaps/>
          <w:lang w:val="en"/>
        </w:rPr>
        <w:t xml:space="preserve">, </w:t>
      </w:r>
      <w:r w:rsidRPr="00F21D87">
        <w:rPr>
          <w:bCs/>
          <w:smallCaps/>
          <w:lang w:val="en"/>
        </w:rPr>
        <w:t>7–10.</w:t>
      </w:r>
      <w:r w:rsidRPr="00F21D87">
        <w:rPr>
          <w:smallCaps/>
        </w:rPr>
        <w:t xml:space="preserve"> </w:t>
      </w:r>
    </w:p>
    <w:p w14:paraId="071CE832" w14:textId="1CE01588" w:rsidR="005B0536" w:rsidRPr="00F21D87" w:rsidRDefault="005B0536" w:rsidP="005B0536">
      <w:pPr>
        <w:pStyle w:val="Ref"/>
        <w:rPr>
          <w:i/>
        </w:rPr>
      </w:pPr>
      <w:r w:rsidRPr="00F21D87">
        <w:rPr>
          <w:smallCaps/>
        </w:rPr>
        <w:t>Monath T.P. &amp; Trent D.W</w:t>
      </w:r>
      <w:r w:rsidRPr="00F21D87">
        <w:t>.</w:t>
      </w:r>
      <w:r w:rsidR="001E1BAE" w:rsidRPr="00F21D87">
        <w:t>, eds</w:t>
      </w:r>
      <w:r w:rsidRPr="00F21D87">
        <w:t xml:space="preserve"> (1981). </w:t>
      </w:r>
      <w:r w:rsidR="001E1BAE" w:rsidRPr="00F21D87">
        <w:t xml:space="preserve">Chapter 8: </w:t>
      </w:r>
      <w:r w:rsidRPr="00F21D87">
        <w:t xml:space="preserve">Togaviral diseases of domestic animals. </w:t>
      </w:r>
      <w:r w:rsidR="001E1BAE" w:rsidRPr="00F21D87">
        <w:rPr>
          <w:i/>
          <w:iCs/>
        </w:rPr>
        <w:t>In:</w:t>
      </w:r>
      <w:r w:rsidR="001E1BAE" w:rsidRPr="00F21D87">
        <w:t xml:space="preserve"> </w:t>
      </w:r>
      <w:r w:rsidRPr="00F21D87">
        <w:rPr>
          <w:iCs/>
        </w:rPr>
        <w:t>Comp</w:t>
      </w:r>
      <w:r w:rsidR="001E1BAE" w:rsidRPr="00F21D87">
        <w:rPr>
          <w:iCs/>
        </w:rPr>
        <w:t>arative</w:t>
      </w:r>
      <w:r w:rsidRPr="00F21D87">
        <w:rPr>
          <w:iCs/>
        </w:rPr>
        <w:t xml:space="preserve"> Diagn</w:t>
      </w:r>
      <w:r w:rsidR="001E1BAE" w:rsidRPr="00F21D87">
        <w:rPr>
          <w:iCs/>
        </w:rPr>
        <w:t>osis of</w:t>
      </w:r>
      <w:r w:rsidRPr="00F21D87">
        <w:rPr>
          <w:iCs/>
        </w:rPr>
        <w:t xml:space="preserve"> Vir</w:t>
      </w:r>
      <w:r w:rsidR="001E1BAE" w:rsidRPr="00F21D87">
        <w:rPr>
          <w:iCs/>
        </w:rPr>
        <w:t>al</w:t>
      </w:r>
      <w:r w:rsidRPr="00F21D87">
        <w:rPr>
          <w:iCs/>
        </w:rPr>
        <w:t xml:space="preserve"> Dis</w:t>
      </w:r>
      <w:r w:rsidR="001E1BAE" w:rsidRPr="00F21D87">
        <w:rPr>
          <w:iCs/>
        </w:rPr>
        <w:t>eases,</w:t>
      </w:r>
      <w:r w:rsidRPr="00F21D87">
        <w:t xml:space="preserve"> </w:t>
      </w:r>
      <w:r w:rsidR="001E1BAE" w:rsidRPr="00F21D87">
        <w:t>Volume IV. Academic Press, New York, USA</w:t>
      </w:r>
      <w:r w:rsidRPr="00F21D87">
        <w:t>, 331–440.</w:t>
      </w:r>
    </w:p>
    <w:p w14:paraId="7B048420" w14:textId="77777777" w:rsidR="005B0536" w:rsidRPr="00F12378" w:rsidRDefault="005B0536" w:rsidP="00D675DD">
      <w:pPr>
        <w:pStyle w:val="Ref"/>
      </w:pPr>
      <w:r w:rsidRPr="00F12378">
        <w:rPr>
          <w:smallCaps/>
        </w:rPr>
        <w:t>Monroy A.M., Scott T.W. &amp; Webb B.A</w:t>
      </w:r>
      <w:r w:rsidRPr="00F12378">
        <w:t xml:space="preserve">. (1996). Evaluation of reverse transcriptase polymerase chain reaction for the detection of eastern equine encephalomyelitis virus during vector surveillance. </w:t>
      </w:r>
      <w:r w:rsidRPr="00F12378">
        <w:rPr>
          <w:i/>
        </w:rPr>
        <w:t>J. Med. Entomol.</w:t>
      </w:r>
      <w:r w:rsidRPr="00F12378">
        <w:t xml:space="preserve">, </w:t>
      </w:r>
      <w:r w:rsidRPr="00F12378">
        <w:rPr>
          <w:b/>
        </w:rPr>
        <w:t>33</w:t>
      </w:r>
      <w:r w:rsidRPr="00F12378">
        <w:t>, 449–457.</w:t>
      </w:r>
    </w:p>
    <w:p w14:paraId="774DC824" w14:textId="77777777" w:rsidR="005B0536" w:rsidRPr="004F69FF" w:rsidRDefault="005B0536" w:rsidP="00D675DD">
      <w:pPr>
        <w:pStyle w:val="Ref"/>
        <w:rPr>
          <w:lang w:val="es-ES"/>
        </w:rPr>
      </w:pPr>
      <w:r w:rsidRPr="004F69FF">
        <w:rPr>
          <w:smallCaps/>
        </w:rPr>
        <w:t>Morris C.D</w:t>
      </w:r>
      <w:r w:rsidRPr="004F69FF">
        <w:t xml:space="preserve">. (1989). Eastern equine encephalomyelitis. </w:t>
      </w:r>
      <w:r w:rsidRPr="004F69FF">
        <w:rPr>
          <w:i/>
        </w:rPr>
        <w:t>In:</w:t>
      </w:r>
      <w:r w:rsidRPr="004F69FF">
        <w:t xml:space="preserve"> The Arboviruses: Epidemiology and Ecology, Vol. 3, Monath T.P., ed. </w:t>
      </w:r>
      <w:r w:rsidRPr="004F69FF">
        <w:rPr>
          <w:lang w:val="es-ES"/>
        </w:rPr>
        <w:t>CRC Press, Boca Raton, Florida, USA, 1–12.</w:t>
      </w:r>
    </w:p>
    <w:p w14:paraId="7E040B7B" w14:textId="77777777" w:rsidR="005B0536" w:rsidRPr="00F21D87" w:rsidRDefault="005B0536" w:rsidP="007F14E4">
      <w:pPr>
        <w:pStyle w:val="Ref"/>
        <w:rPr>
          <w:smallCaps/>
          <w:lang w:val="es-ES"/>
        </w:rPr>
      </w:pPr>
      <w:r w:rsidRPr="00F21D87">
        <w:rPr>
          <w:smallCaps/>
          <w:lang w:val="es-ES"/>
        </w:rPr>
        <w:t xml:space="preserve">Navarro J.C, Medina G., Vasquez C, Coffey L.L., Wang E., Suárez A., Biord H., Salas M. &amp; Weaver S.C. (2005). </w:t>
      </w:r>
      <w:r w:rsidRPr="00F21D87">
        <w:rPr>
          <w:lang w:val="es-ES"/>
        </w:rPr>
        <w:t xml:space="preserve">Postepizootic persistence of Venezuelan equine encephalitis virus, Venezuela. </w:t>
      </w:r>
      <w:r w:rsidRPr="00F21D87">
        <w:rPr>
          <w:i/>
          <w:lang w:val="es-ES"/>
        </w:rPr>
        <w:t xml:space="preserve">Emerg. Infect. Dis., </w:t>
      </w:r>
      <w:r w:rsidRPr="00F21D87">
        <w:rPr>
          <w:b/>
          <w:lang w:val="es-ES"/>
        </w:rPr>
        <w:t>11</w:t>
      </w:r>
      <w:r w:rsidRPr="00F21D87">
        <w:rPr>
          <w:lang w:val="es-ES"/>
        </w:rPr>
        <w:t>, 1907–1915.</w:t>
      </w:r>
    </w:p>
    <w:p w14:paraId="401A9B5D" w14:textId="3AD0A74A" w:rsidR="00F2406A" w:rsidRPr="004F69FF" w:rsidRDefault="00F2406A" w:rsidP="007F14E4">
      <w:pPr>
        <w:tabs>
          <w:tab w:val="clear" w:pos="-720"/>
        </w:tabs>
        <w:autoSpaceDE w:val="0"/>
        <w:autoSpaceDN w:val="0"/>
        <w:adjustRightInd w:val="0"/>
        <w:spacing w:after="240" w:line="240" w:lineRule="auto"/>
        <w:rPr>
          <w:rFonts w:ascii="Arial" w:hAnsi="Arial" w:cs="Arial"/>
          <w:sz w:val="18"/>
          <w:szCs w:val="18"/>
          <w:u w:val="double"/>
          <w:lang w:val="en-US" w:eastAsia="en-GB"/>
        </w:rPr>
      </w:pPr>
      <w:r w:rsidRPr="00EC2E89">
        <w:rPr>
          <w:rFonts w:ascii="Arial" w:hAnsi="Arial" w:cs="Arial"/>
          <w:smallCaps/>
          <w:sz w:val="18"/>
          <w:szCs w:val="18"/>
          <w:u w:val="double"/>
          <w:lang w:val="es-ES"/>
        </w:rPr>
        <w:t>Oberste M.S., Schmura S.M., Weaver S.C.</w:t>
      </w:r>
      <w:r w:rsidR="007F14E4" w:rsidRPr="00EC2E89">
        <w:rPr>
          <w:rFonts w:ascii="Arial" w:hAnsi="Arial" w:cs="Arial"/>
          <w:smallCaps/>
          <w:sz w:val="18"/>
          <w:szCs w:val="18"/>
          <w:u w:val="double"/>
          <w:lang w:val="es-ES"/>
        </w:rPr>
        <w:t xml:space="preserve"> &amp;</w:t>
      </w:r>
      <w:r w:rsidRPr="00EC2E89">
        <w:rPr>
          <w:rFonts w:ascii="Arial" w:hAnsi="Arial" w:cs="Arial"/>
          <w:smallCaps/>
          <w:sz w:val="18"/>
          <w:szCs w:val="18"/>
          <w:u w:val="double"/>
          <w:lang w:val="es-ES"/>
        </w:rPr>
        <w:t xml:space="preserve"> Smith J.F</w:t>
      </w:r>
      <w:r w:rsidRPr="00EC2E89">
        <w:rPr>
          <w:rFonts w:ascii="Arial" w:hAnsi="Arial" w:cs="Arial"/>
          <w:sz w:val="18"/>
          <w:szCs w:val="18"/>
          <w:u w:val="double"/>
          <w:lang w:val="es-ES"/>
        </w:rPr>
        <w:t xml:space="preserve">. (1999). </w:t>
      </w:r>
      <w:r w:rsidRPr="004F69FF">
        <w:rPr>
          <w:rFonts w:ascii="Arial" w:hAnsi="Arial" w:cs="Arial"/>
          <w:sz w:val="18"/>
          <w:szCs w:val="18"/>
          <w:u w:val="double"/>
        </w:rPr>
        <w:t xml:space="preserve">Geographic distribution of Venezuelan equine encephalitis virus subtype IE genotypes in Central America and Mexico. </w:t>
      </w:r>
      <w:r w:rsidRPr="004F69FF">
        <w:rPr>
          <w:rFonts w:ascii="Arial" w:hAnsi="Arial" w:cs="Arial"/>
          <w:i/>
          <w:iCs/>
          <w:sz w:val="18"/>
          <w:szCs w:val="18"/>
          <w:u w:val="double"/>
        </w:rPr>
        <w:t>Am. J. Trop. Med. Hyg</w:t>
      </w:r>
      <w:r w:rsidRPr="004F69FF">
        <w:rPr>
          <w:rFonts w:ascii="Arial" w:hAnsi="Arial" w:cs="Arial"/>
          <w:sz w:val="18"/>
          <w:szCs w:val="18"/>
          <w:u w:val="double"/>
        </w:rPr>
        <w:t xml:space="preserve">., </w:t>
      </w:r>
      <w:r w:rsidRPr="004F69FF">
        <w:rPr>
          <w:rFonts w:ascii="Arial" w:hAnsi="Arial" w:cs="Arial"/>
          <w:b/>
          <w:sz w:val="18"/>
          <w:szCs w:val="18"/>
          <w:u w:val="double"/>
        </w:rPr>
        <w:t>60</w:t>
      </w:r>
      <w:r w:rsidRPr="004F69FF">
        <w:rPr>
          <w:rFonts w:ascii="Arial" w:hAnsi="Arial" w:cs="Arial"/>
          <w:sz w:val="18"/>
          <w:szCs w:val="18"/>
          <w:u w:val="double"/>
        </w:rPr>
        <w:t>, 630–634.</w:t>
      </w:r>
    </w:p>
    <w:p w14:paraId="7C395801" w14:textId="77777777" w:rsidR="005B0536" w:rsidRPr="00F21D87" w:rsidRDefault="005B0536" w:rsidP="007F14E4">
      <w:pPr>
        <w:pStyle w:val="Ref"/>
      </w:pPr>
      <w:r w:rsidRPr="00F21D87">
        <w:rPr>
          <w:smallCaps/>
        </w:rPr>
        <w:t>Pan-American Health Organization</w:t>
      </w:r>
      <w:r w:rsidRPr="00F21D87">
        <w:t xml:space="preserve"> (1972). Venezuelan encephalitis. </w:t>
      </w:r>
      <w:r w:rsidRPr="00F21D87">
        <w:rPr>
          <w:i/>
        </w:rPr>
        <w:t>In:</w:t>
      </w:r>
      <w:r w:rsidRPr="00F21D87">
        <w:t xml:space="preserve"> Proceedings of a Workshop/ Symposium on Venezuelan Encephalitis Virus. Sci. Publ. </w:t>
      </w:r>
      <w:r w:rsidRPr="00F21D87">
        <w:rPr>
          <w:b/>
        </w:rPr>
        <w:t>243</w:t>
      </w:r>
      <w:r w:rsidRPr="00F21D87">
        <w:t>, Washington DC, USA, 416 pp.</w:t>
      </w:r>
    </w:p>
    <w:p w14:paraId="3EF214FA" w14:textId="7037A394" w:rsidR="005B0536" w:rsidRPr="00F12378" w:rsidRDefault="00E929CD" w:rsidP="007F14E4">
      <w:pPr>
        <w:pStyle w:val="Ref"/>
        <w:rPr>
          <w:lang w:val="es-ES"/>
        </w:rPr>
      </w:pPr>
      <w:hyperlink r:id="rId13" w:history="1">
        <w:r w:rsidR="005B0536" w:rsidRPr="00F12378">
          <w:rPr>
            <w:smallCaps/>
          </w:rPr>
          <w:t>Pennick K.E</w:t>
        </w:r>
      </w:hyperlink>
      <w:r w:rsidR="005B0536" w:rsidRPr="00F12378">
        <w:rPr>
          <w:smallCaps/>
        </w:rPr>
        <w:t xml:space="preserve">., </w:t>
      </w:r>
      <w:hyperlink r:id="rId14" w:history="1">
        <w:r w:rsidR="005B0536" w:rsidRPr="00F12378">
          <w:rPr>
            <w:smallCaps/>
          </w:rPr>
          <w:t>McKnight C.A</w:t>
        </w:r>
      </w:hyperlink>
      <w:r w:rsidR="005B0536" w:rsidRPr="00F12378">
        <w:rPr>
          <w:smallCaps/>
        </w:rPr>
        <w:t xml:space="preserve">., </w:t>
      </w:r>
      <w:hyperlink r:id="rId15" w:history="1">
        <w:r w:rsidR="005B0536" w:rsidRPr="00F12378">
          <w:rPr>
            <w:smallCaps/>
          </w:rPr>
          <w:t>Patterson J.S</w:t>
        </w:r>
      </w:hyperlink>
      <w:r w:rsidR="005B0536" w:rsidRPr="00F12378">
        <w:rPr>
          <w:smallCaps/>
        </w:rPr>
        <w:t xml:space="preserve">., </w:t>
      </w:r>
      <w:hyperlink r:id="rId16" w:history="1">
        <w:r w:rsidR="005B0536" w:rsidRPr="00F12378">
          <w:rPr>
            <w:smallCaps/>
          </w:rPr>
          <w:t>Latimer K.S</w:t>
        </w:r>
      </w:hyperlink>
      <w:r w:rsidR="005B0536" w:rsidRPr="00F12378">
        <w:rPr>
          <w:smallCaps/>
        </w:rPr>
        <w:t xml:space="preserve">., </w:t>
      </w:r>
      <w:hyperlink r:id="rId17" w:history="1">
        <w:r w:rsidR="005B0536" w:rsidRPr="00F12378">
          <w:rPr>
            <w:smallCaps/>
          </w:rPr>
          <w:t>Maes R.K</w:t>
        </w:r>
      </w:hyperlink>
      <w:r w:rsidR="005B0536" w:rsidRPr="00F12378">
        <w:rPr>
          <w:smallCaps/>
        </w:rPr>
        <w:t xml:space="preserve">., </w:t>
      </w:r>
      <w:hyperlink r:id="rId18" w:history="1">
        <w:r w:rsidR="005B0536" w:rsidRPr="00F12378">
          <w:rPr>
            <w:smallCaps/>
          </w:rPr>
          <w:t>Wise A.G</w:t>
        </w:r>
      </w:hyperlink>
      <w:r w:rsidR="005B0536" w:rsidRPr="00F12378">
        <w:rPr>
          <w:smallCaps/>
        </w:rPr>
        <w:t xml:space="preserve">. &amp; </w:t>
      </w:r>
      <w:hyperlink r:id="rId19" w:history="1">
        <w:r w:rsidR="005B0536" w:rsidRPr="00F12378">
          <w:rPr>
            <w:smallCaps/>
          </w:rPr>
          <w:t>Kiupel M</w:t>
        </w:r>
      </w:hyperlink>
      <w:r w:rsidR="005B0536" w:rsidRPr="00F12378">
        <w:rPr>
          <w:smallCaps/>
        </w:rPr>
        <w:t>.</w:t>
      </w:r>
      <w:r w:rsidR="005B0536" w:rsidRPr="00F12378">
        <w:rPr>
          <w:lang w:val="en-US"/>
        </w:rPr>
        <w:t xml:space="preserve"> (2012). Diagnostic sensitivity and specificity of in situ hybridization and immunohistochemistry for Eastern equine encephalitis virus and West Nile virus in formalin-fixed, paraffin-embedded brain tissue of horses. </w:t>
      </w:r>
      <w:r w:rsidR="005B0536" w:rsidRPr="00F12378">
        <w:rPr>
          <w:i/>
          <w:lang w:val="es-ES"/>
        </w:rPr>
        <w:t>J. Vet. Diagn. Invest</w:t>
      </w:r>
      <w:r w:rsidR="005B0536" w:rsidRPr="00F12378">
        <w:rPr>
          <w:lang w:val="es-ES"/>
        </w:rPr>
        <w:t xml:space="preserve">., </w:t>
      </w:r>
      <w:r w:rsidR="005B0536" w:rsidRPr="00F12378">
        <w:rPr>
          <w:b/>
          <w:lang w:val="es-ES"/>
        </w:rPr>
        <w:t>24</w:t>
      </w:r>
      <w:r w:rsidR="005B0536" w:rsidRPr="00F12378">
        <w:rPr>
          <w:lang w:val="es-ES"/>
        </w:rPr>
        <w:t>, 333–338.</w:t>
      </w:r>
    </w:p>
    <w:p w14:paraId="681B82F9" w14:textId="76FBEBBF" w:rsidR="005B0536" w:rsidRPr="00F12378" w:rsidRDefault="005B0536" w:rsidP="005B0536">
      <w:pPr>
        <w:pStyle w:val="Ref"/>
      </w:pPr>
      <w:r w:rsidRPr="00F12378">
        <w:rPr>
          <w:smallCaps/>
          <w:lang w:val="es-ES"/>
        </w:rPr>
        <w:t>Pisano M.B., Seco M.P., Ré V.E., Farías A.A., Contigiani M.S. &amp; Tenorio A</w:t>
      </w:r>
      <w:r w:rsidRPr="00F12378">
        <w:rPr>
          <w:lang w:val="es-ES"/>
        </w:rPr>
        <w:t xml:space="preserve">. (2012). </w:t>
      </w:r>
      <w:r w:rsidRPr="00F12378">
        <w:t xml:space="preserve">Specific detection of all members of the Venezuelan equine encephalitis complex: development of a RT-nested PCR. </w:t>
      </w:r>
      <w:r w:rsidRPr="00F12378">
        <w:rPr>
          <w:i/>
        </w:rPr>
        <w:t>J</w:t>
      </w:r>
      <w:r w:rsidR="00290F6D" w:rsidRPr="00F12378">
        <w:rPr>
          <w:i/>
        </w:rPr>
        <w:t>.</w:t>
      </w:r>
      <w:r w:rsidRPr="00F12378">
        <w:rPr>
          <w:i/>
        </w:rPr>
        <w:t xml:space="preserve"> Virol</w:t>
      </w:r>
      <w:r w:rsidR="00290F6D" w:rsidRPr="00F12378">
        <w:rPr>
          <w:i/>
        </w:rPr>
        <w:t>.</w:t>
      </w:r>
      <w:r w:rsidRPr="00F12378">
        <w:rPr>
          <w:i/>
        </w:rPr>
        <w:t xml:space="preserve"> Methods</w:t>
      </w:r>
      <w:r w:rsidR="00290F6D" w:rsidRPr="00F12378">
        <w:t xml:space="preserve">, </w:t>
      </w:r>
      <w:r w:rsidRPr="00F12378">
        <w:rPr>
          <w:b/>
        </w:rPr>
        <w:t>186</w:t>
      </w:r>
      <w:r w:rsidRPr="00F12378">
        <w:t>, 203</w:t>
      </w:r>
      <w:r w:rsidR="00290F6D" w:rsidRPr="00F12378">
        <w:t>–20</w:t>
      </w:r>
      <w:r w:rsidRPr="00F12378">
        <w:t>6.</w:t>
      </w:r>
    </w:p>
    <w:p w14:paraId="027C8797" w14:textId="77777777" w:rsidR="005B0536" w:rsidRPr="00F21D87" w:rsidRDefault="005B0536" w:rsidP="005B0536">
      <w:pPr>
        <w:pStyle w:val="Ref"/>
      </w:pPr>
      <w:r w:rsidRPr="00F21D87">
        <w:rPr>
          <w:smallCaps/>
        </w:rPr>
        <w:t>Powers A.M., Oberste M.S., Brault A.C., Rico-Hesse R., Schmura S.M., Smith J.F., Kang W, Sweeney W.P. &amp; Weaver S.C</w:t>
      </w:r>
      <w:r w:rsidRPr="00F21D87">
        <w:t xml:space="preserve">. (1997). Repeated emergence of epidemic/epizootic Venezuelan equine encephalitis from a single genotype of enzootic subtype ID virus. </w:t>
      </w:r>
      <w:r w:rsidRPr="00F21D87">
        <w:rPr>
          <w:i/>
        </w:rPr>
        <w:t>J. Virol.</w:t>
      </w:r>
      <w:r w:rsidRPr="00F21D87">
        <w:t xml:space="preserve">, </w:t>
      </w:r>
      <w:r w:rsidRPr="00F21D87">
        <w:rPr>
          <w:b/>
        </w:rPr>
        <w:t>71</w:t>
      </w:r>
      <w:r w:rsidRPr="00F21D87">
        <w:t xml:space="preserve">, 6697–6705. </w:t>
      </w:r>
    </w:p>
    <w:p w14:paraId="7E6A6C5E" w14:textId="77777777" w:rsidR="005B0536" w:rsidRPr="00DA61B3" w:rsidRDefault="005B0536" w:rsidP="0028384E">
      <w:pPr>
        <w:pStyle w:val="Ref"/>
      </w:pPr>
      <w:r w:rsidRPr="00DA61B3">
        <w:rPr>
          <w:smallCaps/>
        </w:rPr>
        <w:t xml:space="preserve">Pursell A.R., Mitchell F.E. &amp; Seibold H.R. </w:t>
      </w:r>
      <w:r w:rsidRPr="00DA61B3">
        <w:t xml:space="preserve">(1976). Naturally occurring and experimentally induced eastern encephalomyelitis in calves. </w:t>
      </w:r>
      <w:r w:rsidRPr="00DA61B3">
        <w:rPr>
          <w:i/>
        </w:rPr>
        <w:t>J. Am. Vet. Med. Assoc.,</w:t>
      </w:r>
      <w:r w:rsidRPr="00DA61B3">
        <w:t xml:space="preserve"> </w:t>
      </w:r>
      <w:r w:rsidRPr="00DA61B3">
        <w:rPr>
          <w:b/>
        </w:rPr>
        <w:t>169</w:t>
      </w:r>
      <w:r w:rsidRPr="00DA61B3">
        <w:t xml:space="preserve">, 1101–1103. </w:t>
      </w:r>
    </w:p>
    <w:p w14:paraId="3F1B9B4A" w14:textId="348BFCFC" w:rsidR="00F2406A" w:rsidRPr="00432C0B" w:rsidRDefault="00F2406A" w:rsidP="000D4586">
      <w:pPr>
        <w:pStyle w:val="Ref"/>
      </w:pPr>
      <w:r w:rsidRPr="00432C0B">
        <w:rPr>
          <w:smallCaps/>
        </w:rPr>
        <w:t>Quiroz E., Aguilar P.V., Cisneros J., Tesh R.B.</w:t>
      </w:r>
      <w:r w:rsidR="00286FF7" w:rsidRPr="00432C0B">
        <w:rPr>
          <w:smallCaps/>
        </w:rPr>
        <w:t xml:space="preserve"> &amp;</w:t>
      </w:r>
      <w:r w:rsidRPr="00432C0B">
        <w:rPr>
          <w:smallCaps/>
        </w:rPr>
        <w:t xml:space="preserve"> Weaver S.C</w:t>
      </w:r>
      <w:r w:rsidRPr="00432C0B">
        <w:t xml:space="preserve">. (2009). Venezuelan equine encephalitis in Panama: Fatal endemic disease and genetic diversity of etiologic viral strains. </w:t>
      </w:r>
      <w:r w:rsidRPr="00432C0B">
        <w:rPr>
          <w:i/>
          <w:iCs/>
        </w:rPr>
        <w:t>PLoS Negl</w:t>
      </w:r>
      <w:r w:rsidR="00286FF7" w:rsidRPr="00432C0B">
        <w:rPr>
          <w:i/>
          <w:iCs/>
        </w:rPr>
        <w:t>.</w:t>
      </w:r>
      <w:r w:rsidRPr="00432C0B">
        <w:rPr>
          <w:i/>
          <w:iCs/>
        </w:rPr>
        <w:t xml:space="preserve"> Trop</w:t>
      </w:r>
      <w:r w:rsidR="00286FF7" w:rsidRPr="00432C0B">
        <w:rPr>
          <w:i/>
          <w:iCs/>
        </w:rPr>
        <w:t>.</w:t>
      </w:r>
      <w:r w:rsidRPr="00432C0B">
        <w:rPr>
          <w:i/>
          <w:iCs/>
        </w:rPr>
        <w:t xml:space="preserve"> Dis</w:t>
      </w:r>
      <w:r w:rsidRPr="00432C0B">
        <w:t xml:space="preserve">, </w:t>
      </w:r>
      <w:r w:rsidRPr="00432C0B">
        <w:rPr>
          <w:b/>
          <w:bCs/>
        </w:rPr>
        <w:t>3</w:t>
      </w:r>
      <w:r w:rsidRPr="00432C0B">
        <w:t>, 472.</w:t>
      </w:r>
    </w:p>
    <w:p w14:paraId="53CC3B0D" w14:textId="77777777" w:rsidR="005B0536" w:rsidRPr="004F69FF" w:rsidRDefault="005B0536" w:rsidP="0028384E">
      <w:pPr>
        <w:pStyle w:val="Ref"/>
      </w:pPr>
      <w:r w:rsidRPr="004F69FF">
        <w:rPr>
          <w:smallCaps/>
          <w:lang w:val="de-DE"/>
        </w:rPr>
        <w:t>Reisen W.K. &amp; Monath T.P</w:t>
      </w:r>
      <w:r w:rsidRPr="004F69FF">
        <w:rPr>
          <w:lang w:val="de-DE"/>
        </w:rPr>
        <w:t xml:space="preserve">. (1989). </w:t>
      </w:r>
      <w:r w:rsidRPr="004F69FF">
        <w:t xml:space="preserve">Western equine encephalomyelitis. </w:t>
      </w:r>
      <w:r w:rsidRPr="004F69FF">
        <w:rPr>
          <w:i/>
        </w:rPr>
        <w:t>In:</w:t>
      </w:r>
      <w:r w:rsidRPr="004F69FF">
        <w:t xml:space="preserve"> The Arboviruses: Epidemiology and Ecology, Vol. 5, Monath T.P., ed. CRC Press, Boca Raton, Florida, USA, 89–137.</w:t>
      </w:r>
    </w:p>
    <w:p w14:paraId="5D0237AA" w14:textId="77777777" w:rsidR="005B0536" w:rsidRPr="00F122E3" w:rsidRDefault="005B0536" w:rsidP="0028384E">
      <w:pPr>
        <w:pStyle w:val="Ref"/>
        <w:rPr>
          <w:lang w:val="fr-FR"/>
        </w:rPr>
      </w:pPr>
      <w:r w:rsidRPr="00F122E3">
        <w:rPr>
          <w:smallCaps/>
        </w:rPr>
        <w:t>Sahu S.P., Alstad A.D., Pedersen D.D. &amp; Pearson J.</w:t>
      </w:r>
      <w:r w:rsidRPr="00F122E3">
        <w:t xml:space="preserve">E. (1994). Diagnosis of eastern equine encephalomyelitis virus infection in horses by immunoglobulin M and G capture enzyme-linked immunosorbent assay. </w:t>
      </w:r>
      <w:r w:rsidRPr="00F122E3">
        <w:rPr>
          <w:i/>
          <w:lang w:val="fr-FR"/>
        </w:rPr>
        <w:t>J. Vet. Diagn. Invest.</w:t>
      </w:r>
      <w:r w:rsidRPr="00F122E3">
        <w:rPr>
          <w:lang w:val="fr-FR"/>
        </w:rPr>
        <w:t xml:space="preserve">, </w:t>
      </w:r>
      <w:r w:rsidRPr="00F122E3">
        <w:rPr>
          <w:b/>
          <w:lang w:val="fr-FR"/>
        </w:rPr>
        <w:t>6</w:t>
      </w:r>
      <w:r w:rsidRPr="00F122E3">
        <w:rPr>
          <w:lang w:val="fr-FR"/>
        </w:rPr>
        <w:t>, 34–38.</w:t>
      </w:r>
    </w:p>
    <w:p w14:paraId="254EC799" w14:textId="198C0B53" w:rsidR="00F2406A" w:rsidRPr="004F69FF" w:rsidRDefault="00F2406A" w:rsidP="00F2406A">
      <w:pPr>
        <w:pStyle w:val="Ref"/>
        <w:rPr>
          <w:u w:val="double"/>
          <w:lang w:val="en-IE"/>
        </w:rPr>
      </w:pPr>
      <w:r w:rsidRPr="004F69FF">
        <w:rPr>
          <w:smallCaps/>
          <w:u w:val="double"/>
          <w:lang w:val="fr-FR"/>
        </w:rPr>
        <w:t>Sal</w:t>
      </w:r>
      <w:r w:rsidR="003936F7" w:rsidRPr="004F69FF">
        <w:rPr>
          <w:smallCaps/>
          <w:u w:val="double"/>
          <w:lang w:val="fr-FR"/>
        </w:rPr>
        <w:t>i</w:t>
      </w:r>
      <w:r w:rsidRPr="004F69FF">
        <w:rPr>
          <w:smallCaps/>
          <w:u w:val="double"/>
          <w:lang w:val="fr-FR"/>
        </w:rPr>
        <w:t>mi H., Cain M.D.</w:t>
      </w:r>
      <w:r w:rsidR="003936F7" w:rsidRPr="004F69FF">
        <w:rPr>
          <w:smallCaps/>
          <w:u w:val="double"/>
          <w:lang w:val="fr-FR"/>
        </w:rPr>
        <w:t xml:space="preserve"> &amp;</w:t>
      </w:r>
      <w:r w:rsidRPr="004F69FF">
        <w:rPr>
          <w:smallCaps/>
          <w:u w:val="double"/>
          <w:lang w:val="fr-FR"/>
        </w:rPr>
        <w:t xml:space="preserve"> Klein R. S</w:t>
      </w:r>
      <w:r w:rsidRPr="004F69FF">
        <w:rPr>
          <w:u w:val="double"/>
          <w:lang w:val="fr-FR"/>
        </w:rPr>
        <w:t xml:space="preserve">. (2016). </w:t>
      </w:r>
      <w:r w:rsidRPr="004F69FF">
        <w:rPr>
          <w:u w:val="double"/>
          <w:lang w:val="en-IE"/>
        </w:rPr>
        <w:t xml:space="preserve">Encephalitic Arboviruses: Emergence, Clinical Presentation, and Neuropathogenesis. </w:t>
      </w:r>
      <w:r w:rsidRPr="004F69FF">
        <w:rPr>
          <w:i/>
          <w:iCs/>
          <w:u w:val="double"/>
          <w:lang w:val="en-IE"/>
        </w:rPr>
        <w:t>Neurotherapeutics</w:t>
      </w:r>
      <w:r w:rsidRPr="004F69FF">
        <w:rPr>
          <w:u w:val="double"/>
          <w:lang w:val="en-IE"/>
        </w:rPr>
        <w:t xml:space="preserve">, </w:t>
      </w:r>
      <w:r w:rsidRPr="004F69FF">
        <w:rPr>
          <w:b/>
          <w:u w:val="double"/>
          <w:lang w:val="en-IE"/>
        </w:rPr>
        <w:t>13</w:t>
      </w:r>
      <w:r w:rsidRPr="004F69FF">
        <w:rPr>
          <w:u w:val="double"/>
          <w:lang w:val="en-IE"/>
        </w:rPr>
        <w:t>, 514</w:t>
      </w:r>
      <w:r w:rsidR="003936F7" w:rsidRPr="004F69FF">
        <w:rPr>
          <w:u w:val="double"/>
          <w:lang w:val="en-IE"/>
        </w:rPr>
        <w:t>–</w:t>
      </w:r>
      <w:r w:rsidRPr="004F69FF">
        <w:rPr>
          <w:u w:val="double"/>
          <w:lang w:val="en-IE"/>
        </w:rPr>
        <w:t>534.</w:t>
      </w:r>
    </w:p>
    <w:p w14:paraId="5A4BF2CD" w14:textId="78C1E6D3" w:rsidR="00F2406A" w:rsidRPr="004F69FF" w:rsidRDefault="00F2406A" w:rsidP="00F2406A">
      <w:pPr>
        <w:pStyle w:val="Ref"/>
        <w:rPr>
          <w:u w:val="double"/>
        </w:rPr>
      </w:pPr>
      <w:r w:rsidRPr="004F69FF">
        <w:rPr>
          <w:smallCaps/>
          <w:u w:val="double"/>
          <w:lang w:val="en-IE"/>
        </w:rPr>
        <w:t>Sneider J.M., Kinney R.M., Tsuchiya K.R.</w:t>
      </w:r>
      <w:r w:rsidR="003936F7" w:rsidRPr="004F69FF">
        <w:rPr>
          <w:smallCaps/>
          <w:u w:val="double"/>
          <w:lang w:val="en-IE"/>
        </w:rPr>
        <w:t xml:space="preserve"> &amp;</w:t>
      </w:r>
      <w:r w:rsidRPr="004F69FF">
        <w:rPr>
          <w:smallCaps/>
          <w:u w:val="double"/>
          <w:lang w:val="en-IE"/>
        </w:rPr>
        <w:t xml:space="preserve"> Trent D.W</w:t>
      </w:r>
      <w:r w:rsidRPr="004F69FF">
        <w:rPr>
          <w:u w:val="double"/>
          <w:lang w:val="en-IE"/>
        </w:rPr>
        <w:t xml:space="preserve">. (1993). </w:t>
      </w:r>
      <w:r w:rsidRPr="004F69FF">
        <w:rPr>
          <w:u w:val="double"/>
        </w:rPr>
        <w:t xml:space="preserve">Molecular evidence that epizootic Venezuelan equine encephalitis (VEE) I-AB viruses are not evolutionary derivatives of enzootic VEE subtype I-E or II viruses. </w:t>
      </w:r>
      <w:r w:rsidRPr="004F69FF">
        <w:rPr>
          <w:i/>
          <w:iCs/>
          <w:u w:val="double"/>
        </w:rPr>
        <w:t>J. Gen. Virol</w:t>
      </w:r>
      <w:r w:rsidRPr="004F69FF">
        <w:rPr>
          <w:u w:val="double"/>
        </w:rPr>
        <w:t xml:space="preserve">., </w:t>
      </w:r>
      <w:r w:rsidRPr="004F69FF">
        <w:rPr>
          <w:b/>
          <w:u w:val="double"/>
        </w:rPr>
        <w:t>74</w:t>
      </w:r>
      <w:r w:rsidRPr="004F69FF">
        <w:rPr>
          <w:u w:val="double"/>
        </w:rPr>
        <w:t>, 519–523</w:t>
      </w:r>
      <w:r w:rsidRPr="004F69FF">
        <w:rPr>
          <w:color w:val="00679C"/>
          <w:u w:val="double"/>
        </w:rPr>
        <w:t>.</w:t>
      </w:r>
    </w:p>
    <w:p w14:paraId="391E5BB6" w14:textId="77777777" w:rsidR="005B0536" w:rsidRPr="00DA61B3" w:rsidRDefault="005B0536" w:rsidP="0028384E">
      <w:pPr>
        <w:pStyle w:val="Ref"/>
      </w:pPr>
      <w:r w:rsidRPr="00DA61B3">
        <w:rPr>
          <w:smallCaps/>
        </w:rPr>
        <w:t xml:space="preserve">Tate C.M., Howerth E.W., Stallknecht D.E., Allistion, A.B., Fisher J.R. &amp; Mead D.G. </w:t>
      </w:r>
      <w:r w:rsidRPr="00DA61B3">
        <w:t>(2005). Eastern equine encephalitis in a free-ranging white-tailed deer (</w:t>
      </w:r>
      <w:r w:rsidRPr="00DA61B3">
        <w:rPr>
          <w:i/>
        </w:rPr>
        <w:t>Odocoileus virginianus</w:t>
      </w:r>
      <w:r w:rsidRPr="00DA61B3">
        <w:t xml:space="preserve">). </w:t>
      </w:r>
      <w:r w:rsidRPr="00DA61B3">
        <w:rPr>
          <w:i/>
        </w:rPr>
        <w:t>J. Wildl. Dis.,</w:t>
      </w:r>
      <w:r w:rsidRPr="00DA61B3">
        <w:t xml:space="preserve"> </w:t>
      </w:r>
      <w:r w:rsidRPr="00DA61B3">
        <w:rPr>
          <w:b/>
        </w:rPr>
        <w:t>41</w:t>
      </w:r>
      <w:r w:rsidRPr="00DA61B3">
        <w:t>, 241–245.</w:t>
      </w:r>
    </w:p>
    <w:p w14:paraId="5CB11E9F" w14:textId="77777777" w:rsidR="005B0536" w:rsidRPr="00E45155" w:rsidRDefault="005B0536" w:rsidP="0028384E">
      <w:pPr>
        <w:pStyle w:val="Ref"/>
      </w:pPr>
      <w:r w:rsidRPr="00E45155">
        <w:rPr>
          <w:smallCaps/>
        </w:rPr>
        <w:t>Tuttle A.D., Andreadis T.G., Frasca S. Jr &amp; Dunn J.L. (</w:t>
      </w:r>
      <w:r w:rsidRPr="00E45155">
        <w:t xml:space="preserve">2005). Eastern equine encephalitis in a flock of African penguins maintained at an aquarium. </w:t>
      </w:r>
      <w:r w:rsidRPr="00E45155">
        <w:rPr>
          <w:i/>
        </w:rPr>
        <w:t>J. Am. Vet. Med. Assoc.,</w:t>
      </w:r>
      <w:r w:rsidRPr="00E45155">
        <w:t xml:space="preserve"> </w:t>
      </w:r>
      <w:r w:rsidRPr="00E45155">
        <w:rPr>
          <w:b/>
        </w:rPr>
        <w:t>226</w:t>
      </w:r>
      <w:r w:rsidRPr="00E45155">
        <w:t>, 2059–2062.</w:t>
      </w:r>
    </w:p>
    <w:p w14:paraId="11F09ADF" w14:textId="77777777" w:rsidR="005B0536" w:rsidRPr="00475AED" w:rsidRDefault="005B0536" w:rsidP="0028384E">
      <w:pPr>
        <w:pStyle w:val="Ref"/>
      </w:pPr>
      <w:r w:rsidRPr="00475AED">
        <w:rPr>
          <w:smallCaps/>
        </w:rPr>
        <w:lastRenderedPageBreak/>
        <w:t>United States Code of Federal Regulations</w:t>
      </w:r>
      <w:r w:rsidRPr="00475AED">
        <w:t xml:space="preserve"> (2000). Encephalomyelitis vaccine: Eastern and Western killed virus. Title 9, Part 113, Section 113.207. US Government Printing Office, Washington DC, USA, 601–602.</w:t>
      </w:r>
    </w:p>
    <w:p w14:paraId="56722012" w14:textId="77777777" w:rsidR="005B0536" w:rsidRPr="00475AED" w:rsidRDefault="005B0536" w:rsidP="005B0536">
      <w:pPr>
        <w:pStyle w:val="Ref"/>
      </w:pPr>
      <w:r w:rsidRPr="00475AED">
        <w:rPr>
          <w:smallCaps/>
        </w:rPr>
        <w:t>United States Department of Health and Human Services</w:t>
      </w:r>
      <w:r w:rsidRPr="00475AED">
        <w:t xml:space="preserve"> (2009). Biosafety in </w:t>
      </w:r>
      <w:r w:rsidRPr="00475AED">
        <w:rPr>
          <w:caps/>
        </w:rPr>
        <w:t>m</w:t>
      </w:r>
      <w:r w:rsidRPr="00475AED">
        <w:t>icrobiological and Biomedical Laboratories. (BMBL) 5</w:t>
      </w:r>
      <w:r w:rsidRPr="00475AED">
        <w:rPr>
          <w:vertAlign w:val="superscript"/>
        </w:rPr>
        <w:t>th</w:t>
      </w:r>
      <w:r w:rsidRPr="00475AED">
        <w:t xml:space="preserve"> Edition. </w:t>
      </w:r>
      <w:hyperlink r:id="rId20" w:history="1">
        <w:r w:rsidRPr="00475AED">
          <w:rPr>
            <w:rStyle w:val="Lienhypertexte"/>
            <w:u w:val="none"/>
          </w:rPr>
          <w:t>http://www.cdc.gov/biosafety/publications/bmbl5/index.htm</w:t>
        </w:r>
      </w:hyperlink>
      <w:r w:rsidRPr="00475AED">
        <w:t xml:space="preserve">. </w:t>
      </w:r>
    </w:p>
    <w:p w14:paraId="4308D147" w14:textId="2C6CD307" w:rsidR="005B0536" w:rsidRPr="00F12378" w:rsidRDefault="005B0536" w:rsidP="005B0536">
      <w:pPr>
        <w:pStyle w:val="Ref"/>
      </w:pPr>
      <w:r w:rsidRPr="00F12378">
        <w:rPr>
          <w:smallCaps/>
        </w:rPr>
        <w:t>Vina-Rodriguez A., Eiden M., Keller M., Hinrichs W. &amp; Groschup M.H.</w:t>
      </w:r>
      <w:r w:rsidRPr="00F12378">
        <w:t xml:space="preserve"> (2016). A quantitative real-time RT-PCR assay for the detection of Venezuelan equine encephalitis virus utilizing a universal alphavirus control RNA. </w:t>
      </w:r>
      <w:r w:rsidRPr="00F12378">
        <w:rPr>
          <w:i/>
        </w:rPr>
        <w:t>Biomed Res Int</w:t>
      </w:r>
      <w:r w:rsidRPr="00F12378">
        <w:t>.</w:t>
      </w:r>
      <w:r w:rsidR="002F5983" w:rsidRPr="00F12378">
        <w:t>,</w:t>
      </w:r>
      <w:r w:rsidRPr="00F12378">
        <w:t xml:space="preserve"> 8543204.</w:t>
      </w:r>
    </w:p>
    <w:p w14:paraId="4451604B" w14:textId="10D1239F" w:rsidR="005B0536" w:rsidRPr="00F12378" w:rsidRDefault="005B0536" w:rsidP="0028384E">
      <w:pPr>
        <w:pStyle w:val="Ref"/>
      </w:pPr>
      <w:r w:rsidRPr="00F12378">
        <w:rPr>
          <w:smallCaps/>
        </w:rPr>
        <w:t>Vodkin M.H., McLaughlin G.L., Day J.F., Shope R.E. &amp; Novak R.</w:t>
      </w:r>
      <w:r w:rsidRPr="00F12378">
        <w:t xml:space="preserve">J. (1993). A rapid diagnostic assay for eastern equine encephalomyelitis viral-RNA. </w:t>
      </w:r>
      <w:r w:rsidRPr="00F12378">
        <w:rPr>
          <w:i/>
        </w:rPr>
        <w:t>Am. J. Trop. Med. Hyg.,</w:t>
      </w:r>
      <w:r w:rsidRPr="00F12378">
        <w:t xml:space="preserve"> </w:t>
      </w:r>
      <w:r w:rsidRPr="00F12378">
        <w:rPr>
          <w:b/>
        </w:rPr>
        <w:t>49</w:t>
      </w:r>
      <w:r w:rsidRPr="00F12378">
        <w:t>, 772–776.</w:t>
      </w:r>
    </w:p>
    <w:p w14:paraId="5C63CB28" w14:textId="77777777" w:rsidR="005B0536" w:rsidRPr="004F69FF" w:rsidRDefault="005B0536" w:rsidP="0028384E">
      <w:pPr>
        <w:pStyle w:val="Ref"/>
      </w:pPr>
      <w:r w:rsidRPr="004F69FF">
        <w:rPr>
          <w:smallCaps/>
        </w:rPr>
        <w:t>Walton T</w:t>
      </w:r>
      <w:r w:rsidRPr="004F69FF">
        <w:t xml:space="preserve">.E. (1981). Venezuelan, eastern, and western encephalomyelitis. </w:t>
      </w:r>
      <w:r w:rsidRPr="004F69FF">
        <w:rPr>
          <w:i/>
        </w:rPr>
        <w:t>In:</w:t>
      </w:r>
      <w:r w:rsidRPr="004F69FF">
        <w:t xml:space="preserve"> Virus Diseases of Food Animals. A World Geography of Epidemiology and Control. Disease Monographs, Vol. 2, Gibbs E.P.J., ed. Academic Press, New York, USA, 587–625.</w:t>
      </w:r>
    </w:p>
    <w:p w14:paraId="7B75A4C8" w14:textId="77777777" w:rsidR="005B0536" w:rsidRPr="00F21D87" w:rsidRDefault="005B0536" w:rsidP="005B0536">
      <w:pPr>
        <w:pStyle w:val="Ref"/>
      </w:pPr>
      <w:r w:rsidRPr="00F21D87">
        <w:rPr>
          <w:smallCaps/>
        </w:rPr>
        <w:t>Walton T.E., Alvarez O. Jr, Buckwalter R.M. &amp; Johnson K.M</w:t>
      </w:r>
      <w:r w:rsidRPr="00F21D87">
        <w:t xml:space="preserve">. (1973). Experimental infection of horses with enzootic and epizootic strains of Venezuelan equine encephalomyelitis virus. </w:t>
      </w:r>
      <w:r w:rsidRPr="00F21D87">
        <w:rPr>
          <w:i/>
        </w:rPr>
        <w:t>J. Infect. Dis.</w:t>
      </w:r>
      <w:r w:rsidRPr="00F21D87">
        <w:t xml:space="preserve">, </w:t>
      </w:r>
      <w:r w:rsidRPr="00F21D87">
        <w:rPr>
          <w:b/>
        </w:rPr>
        <w:t>128</w:t>
      </w:r>
      <w:r w:rsidRPr="00F21D87">
        <w:t>, 271–282.</w:t>
      </w:r>
    </w:p>
    <w:p w14:paraId="60F88CF3" w14:textId="77777777" w:rsidR="002F5983" w:rsidRPr="00F21D87" w:rsidRDefault="002F5983" w:rsidP="002F5983">
      <w:pPr>
        <w:pStyle w:val="Ref"/>
        <w:rPr>
          <w:lang w:val="es-ES"/>
        </w:rPr>
      </w:pPr>
      <w:r w:rsidRPr="00F21D87">
        <w:rPr>
          <w:smallCaps/>
          <w:lang w:val="en-IE"/>
        </w:rPr>
        <w:t>Walton T.E. &amp; Grayson M.A</w:t>
      </w:r>
      <w:r w:rsidRPr="00F21D87">
        <w:rPr>
          <w:lang w:val="en-IE"/>
        </w:rPr>
        <w:t xml:space="preserve">. (1989). Chapter 46. </w:t>
      </w:r>
      <w:r w:rsidRPr="00F21D87">
        <w:t xml:space="preserve">Venezuelan equine encephalomyelitis. </w:t>
      </w:r>
      <w:r w:rsidRPr="00F21D87">
        <w:rPr>
          <w:i/>
        </w:rPr>
        <w:t>In:</w:t>
      </w:r>
      <w:r w:rsidRPr="00F21D87">
        <w:t xml:space="preserve"> The Arboviruses: Epidemiology and Ecology, Vol. 4, Monath T.P., ed. </w:t>
      </w:r>
      <w:r w:rsidRPr="00F21D87">
        <w:rPr>
          <w:lang w:val="es-ES"/>
        </w:rPr>
        <w:t>CRC Press, Boca Raton, Florida, USA, 203–231.</w:t>
      </w:r>
    </w:p>
    <w:p w14:paraId="5F0A99C6" w14:textId="203E44EE" w:rsidR="003C14BE" w:rsidRPr="004F69FF" w:rsidRDefault="003C14BE" w:rsidP="003C14BE">
      <w:pPr>
        <w:pStyle w:val="Ref"/>
        <w:rPr>
          <w:u w:val="double"/>
        </w:rPr>
      </w:pPr>
      <w:r w:rsidRPr="004F69FF">
        <w:rPr>
          <w:smallCaps/>
          <w:u w:val="double"/>
          <w:lang w:val="es-ES"/>
        </w:rPr>
        <w:t>Wang E., Barrera R., Boshell J., Ferro C., Freier J.E., Navarro J.C., Salas R., Vasquez C.</w:t>
      </w:r>
      <w:r w:rsidR="003936F7" w:rsidRPr="004F69FF">
        <w:rPr>
          <w:smallCaps/>
          <w:u w:val="double"/>
          <w:lang w:val="es-ES"/>
        </w:rPr>
        <w:t xml:space="preserve"> &amp;</w:t>
      </w:r>
      <w:r w:rsidRPr="004F69FF">
        <w:rPr>
          <w:smallCaps/>
          <w:u w:val="double"/>
          <w:lang w:val="es-ES"/>
        </w:rPr>
        <w:t xml:space="preserve"> Weaver S.C</w:t>
      </w:r>
      <w:r w:rsidRPr="004F69FF">
        <w:rPr>
          <w:u w:val="double"/>
          <w:lang w:val="es-ES"/>
        </w:rPr>
        <w:t xml:space="preserve">. (1999). </w:t>
      </w:r>
      <w:r w:rsidRPr="004F69FF">
        <w:rPr>
          <w:u w:val="double"/>
        </w:rPr>
        <w:t xml:space="preserve">Genetic and phenotypic changes accompanying the emergence of epizootic subtype IC Venezuelan equine encephalitis viruses from an enzootic subtype ID progenitor. </w:t>
      </w:r>
      <w:r w:rsidRPr="004F69FF">
        <w:rPr>
          <w:i/>
          <w:iCs/>
          <w:u w:val="double"/>
        </w:rPr>
        <w:t>J. Virol</w:t>
      </w:r>
      <w:r w:rsidRPr="004F69FF">
        <w:rPr>
          <w:u w:val="double"/>
        </w:rPr>
        <w:t xml:space="preserve">., </w:t>
      </w:r>
      <w:r w:rsidRPr="004F69FF">
        <w:rPr>
          <w:b/>
          <w:u w:val="double"/>
        </w:rPr>
        <w:t>73</w:t>
      </w:r>
      <w:r w:rsidRPr="004F69FF">
        <w:rPr>
          <w:u w:val="double"/>
        </w:rPr>
        <w:t>, 4266–4271</w:t>
      </w:r>
      <w:r w:rsidRPr="004F69FF">
        <w:rPr>
          <w:sz w:val="12"/>
          <w:szCs w:val="12"/>
          <w:u w:val="double"/>
        </w:rPr>
        <w:t>.</w:t>
      </w:r>
    </w:p>
    <w:p w14:paraId="6B3F7D7F" w14:textId="77777777" w:rsidR="005B0536" w:rsidRPr="00F122E3" w:rsidRDefault="005B0536" w:rsidP="005B0536">
      <w:pPr>
        <w:pStyle w:val="Ref"/>
      </w:pPr>
      <w:r w:rsidRPr="00F122E3">
        <w:rPr>
          <w:rFonts w:eastAsia="MS Mincho"/>
          <w:smallCaps/>
          <w:lang w:eastAsia="ja-JP"/>
        </w:rPr>
        <w:t xml:space="preserve">Wang E., Paessler S., Aguilar P.V., Carrara A.S., Ni H., Greene I.P. &amp; Weaver S.C. </w:t>
      </w:r>
      <w:r w:rsidRPr="00F122E3">
        <w:rPr>
          <w:rFonts w:eastAsia="MS Mincho"/>
          <w:lang w:eastAsia="ja-JP"/>
        </w:rPr>
        <w:t xml:space="preserve">(2006). Reverse transcription-PCR-enzyme-linked immunosorbent assay for rapid detection and differentiation of alphavirus infections. </w:t>
      </w:r>
      <w:r w:rsidRPr="00F122E3">
        <w:rPr>
          <w:rFonts w:eastAsia="MS Mincho"/>
          <w:i/>
          <w:iCs/>
          <w:lang w:eastAsia="ja-JP"/>
        </w:rPr>
        <w:t>J. Clin. Microbiol</w:t>
      </w:r>
      <w:r w:rsidRPr="00F122E3">
        <w:rPr>
          <w:rFonts w:eastAsia="MS Mincho"/>
          <w:lang w:eastAsia="ja-JP"/>
        </w:rPr>
        <w:t xml:space="preserve">., </w:t>
      </w:r>
      <w:r w:rsidRPr="00F122E3">
        <w:rPr>
          <w:rFonts w:eastAsia="MS Mincho"/>
          <w:b/>
          <w:bCs/>
          <w:lang w:eastAsia="ja-JP"/>
        </w:rPr>
        <w:t>44</w:t>
      </w:r>
      <w:r w:rsidRPr="00F122E3">
        <w:rPr>
          <w:rFonts w:eastAsia="MS Mincho"/>
          <w:lang w:eastAsia="ja-JP"/>
        </w:rPr>
        <w:t xml:space="preserve">, 4000–4008. </w:t>
      </w:r>
    </w:p>
    <w:p w14:paraId="7DBE6040" w14:textId="77777777" w:rsidR="005B0536" w:rsidRPr="00F21D87" w:rsidRDefault="005B0536" w:rsidP="005B0536">
      <w:pPr>
        <w:pStyle w:val="Ref"/>
        <w:rPr>
          <w:i/>
        </w:rPr>
      </w:pPr>
      <w:r w:rsidRPr="00F21D87">
        <w:rPr>
          <w:smallCaps/>
        </w:rPr>
        <w:t xml:space="preserve">Weaver S.C., Ferro C., Barrerea R. Boschell J. &amp; Navarro J.C. </w:t>
      </w:r>
      <w:r w:rsidRPr="00F21D87">
        <w:t xml:space="preserve">(2004) Venezuelan equine encephalitis. </w:t>
      </w:r>
      <w:r w:rsidRPr="00F21D87">
        <w:rPr>
          <w:i/>
        </w:rPr>
        <w:t>Annu. Rev. Entomol.,</w:t>
      </w:r>
      <w:r w:rsidRPr="00F21D87">
        <w:t xml:space="preserve"> </w:t>
      </w:r>
      <w:r w:rsidRPr="00F21D87">
        <w:rPr>
          <w:b/>
        </w:rPr>
        <w:t>49</w:t>
      </w:r>
      <w:r w:rsidRPr="00F21D87">
        <w:t>, 141–174.</w:t>
      </w:r>
    </w:p>
    <w:p w14:paraId="0B7F85D8" w14:textId="77777777" w:rsidR="005B0536" w:rsidRPr="00F122E3" w:rsidRDefault="005B0536" w:rsidP="0028384E">
      <w:pPr>
        <w:spacing w:after="240" w:line="240" w:lineRule="auto"/>
        <w:rPr>
          <w:rFonts w:ascii="Arial" w:hAnsi="Arial"/>
          <w:sz w:val="18"/>
        </w:rPr>
      </w:pPr>
      <w:r w:rsidRPr="00F122E3">
        <w:rPr>
          <w:rFonts w:ascii="Arial" w:hAnsi="Arial" w:cs="Arial"/>
          <w:smallCaps/>
          <w:sz w:val="18"/>
          <w:szCs w:val="18"/>
        </w:rPr>
        <w:t xml:space="preserve">Weaver S.C., </w:t>
      </w:r>
      <w:r w:rsidRPr="00F122E3">
        <w:rPr>
          <w:rFonts w:ascii="Arial" w:hAnsi="Arial"/>
          <w:smallCaps/>
          <w:sz w:val="18"/>
        </w:rPr>
        <w:t>Hagenbaugh A., Bellew L.A., Gousset L., Mallampalli V., Holland J.J. &amp; Scott T.W</w:t>
      </w:r>
      <w:r w:rsidRPr="00F122E3">
        <w:rPr>
          <w:rFonts w:ascii="Arial" w:hAnsi="Arial"/>
          <w:sz w:val="18"/>
        </w:rPr>
        <w:t xml:space="preserve">. (1994). Evolution of Alphaviruses in the eastern equine encephalomyelitis complex. </w:t>
      </w:r>
      <w:r w:rsidRPr="00F122E3">
        <w:rPr>
          <w:rFonts w:ascii="Arial" w:hAnsi="Arial"/>
          <w:i/>
          <w:sz w:val="18"/>
        </w:rPr>
        <w:t>J. Virol.</w:t>
      </w:r>
      <w:r w:rsidRPr="00F122E3">
        <w:rPr>
          <w:rFonts w:ascii="Arial" w:hAnsi="Arial"/>
          <w:sz w:val="18"/>
        </w:rPr>
        <w:t xml:space="preserve">, </w:t>
      </w:r>
      <w:r w:rsidRPr="00F122E3">
        <w:rPr>
          <w:rFonts w:ascii="Arial" w:hAnsi="Arial"/>
          <w:b/>
          <w:sz w:val="18"/>
        </w:rPr>
        <w:t>68</w:t>
      </w:r>
      <w:r w:rsidRPr="00F122E3">
        <w:rPr>
          <w:rFonts w:ascii="Arial" w:hAnsi="Arial"/>
          <w:sz w:val="18"/>
        </w:rPr>
        <w:t>, 158–169.</w:t>
      </w:r>
    </w:p>
    <w:p w14:paraId="7BD9B923" w14:textId="2C008134" w:rsidR="003C14BE" w:rsidRPr="004F69FF" w:rsidRDefault="003C14BE" w:rsidP="003C14BE">
      <w:pPr>
        <w:spacing w:after="240" w:line="240" w:lineRule="auto"/>
        <w:rPr>
          <w:rFonts w:ascii="Arial" w:hAnsi="Arial" w:cs="Arial"/>
          <w:sz w:val="18"/>
          <w:szCs w:val="18"/>
          <w:u w:val="double"/>
        </w:rPr>
      </w:pPr>
      <w:r w:rsidRPr="004F69FF">
        <w:rPr>
          <w:rFonts w:ascii="Arial" w:hAnsi="Arial" w:cs="Arial"/>
          <w:smallCaps/>
          <w:sz w:val="18"/>
          <w:szCs w:val="18"/>
          <w:u w:val="double"/>
        </w:rPr>
        <w:t>Weaver S.C., Pfeffer M., Marriott K., Kang W.</w:t>
      </w:r>
      <w:r w:rsidR="00903765" w:rsidRPr="004F69FF">
        <w:rPr>
          <w:rFonts w:ascii="Arial" w:hAnsi="Arial" w:cs="Arial"/>
          <w:smallCaps/>
          <w:sz w:val="18"/>
          <w:szCs w:val="18"/>
          <w:u w:val="double"/>
        </w:rPr>
        <w:t xml:space="preserve"> &amp;</w:t>
      </w:r>
      <w:r w:rsidRPr="004F69FF">
        <w:rPr>
          <w:rFonts w:ascii="Arial" w:hAnsi="Arial" w:cs="Arial"/>
          <w:smallCaps/>
          <w:sz w:val="18"/>
          <w:szCs w:val="18"/>
          <w:u w:val="double"/>
        </w:rPr>
        <w:t xml:space="preserve"> Kinney R.M</w:t>
      </w:r>
      <w:r w:rsidRPr="004F69FF">
        <w:rPr>
          <w:rFonts w:ascii="Arial" w:hAnsi="Arial" w:cs="Arial"/>
          <w:sz w:val="18"/>
          <w:szCs w:val="18"/>
          <w:u w:val="double"/>
        </w:rPr>
        <w:t xml:space="preserve">. (1999). Genetic evidence for the origins of Venezuelan equine encephalitis virus subtype IAB outbreaks. </w:t>
      </w:r>
      <w:r w:rsidRPr="004F69FF">
        <w:rPr>
          <w:rFonts w:ascii="Arial" w:hAnsi="Arial" w:cs="Arial"/>
          <w:i/>
          <w:iCs/>
          <w:sz w:val="18"/>
          <w:szCs w:val="18"/>
          <w:u w:val="double"/>
        </w:rPr>
        <w:t>Am. J. Trop. Med. Hyg.,</w:t>
      </w:r>
      <w:r w:rsidRPr="004F69FF">
        <w:rPr>
          <w:rFonts w:ascii="Arial" w:hAnsi="Arial" w:cs="Arial"/>
          <w:bCs/>
          <w:sz w:val="18"/>
          <w:szCs w:val="18"/>
          <w:u w:val="double"/>
        </w:rPr>
        <w:t xml:space="preserve"> </w:t>
      </w:r>
      <w:r w:rsidRPr="004F69FF">
        <w:rPr>
          <w:rFonts w:ascii="Arial" w:hAnsi="Arial" w:cs="Arial"/>
          <w:b/>
          <w:sz w:val="18"/>
          <w:szCs w:val="18"/>
          <w:u w:val="double"/>
        </w:rPr>
        <w:t>60</w:t>
      </w:r>
      <w:r w:rsidRPr="004F69FF">
        <w:rPr>
          <w:rFonts w:ascii="Arial" w:hAnsi="Arial" w:cs="Arial"/>
          <w:sz w:val="18"/>
          <w:szCs w:val="18"/>
          <w:u w:val="double"/>
        </w:rPr>
        <w:t>, 441–448</w:t>
      </w:r>
      <w:r w:rsidRPr="004F69FF">
        <w:rPr>
          <w:rFonts w:ascii="Arial" w:hAnsi="Arial" w:cs="Arial"/>
          <w:color w:val="00679C"/>
          <w:sz w:val="18"/>
          <w:szCs w:val="18"/>
          <w:u w:val="double"/>
        </w:rPr>
        <w:t>.</w:t>
      </w:r>
    </w:p>
    <w:p w14:paraId="107845D5" w14:textId="77777777" w:rsidR="005B0536" w:rsidRPr="00475AED" w:rsidRDefault="005B0536" w:rsidP="005B0536">
      <w:pPr>
        <w:spacing w:after="240" w:line="240" w:lineRule="auto"/>
        <w:rPr>
          <w:rFonts w:ascii="Arial" w:eastAsiaTheme="minorHAnsi" w:hAnsi="Arial" w:cs="Arial"/>
          <w:sz w:val="18"/>
          <w:szCs w:val="18"/>
          <w:lang w:eastAsia="en-US"/>
        </w:rPr>
      </w:pPr>
      <w:r w:rsidRPr="00475AED">
        <w:rPr>
          <w:rFonts w:ascii="Arial" w:eastAsiaTheme="minorHAnsi" w:hAnsi="Arial" w:cs="Arial"/>
          <w:smallCaps/>
          <w:sz w:val="18"/>
          <w:szCs w:val="18"/>
          <w:lang w:eastAsia="en-US"/>
        </w:rPr>
        <w:t>Weaver S.C., Winegar R., Manger I.D. &amp; Forrester N.L.</w:t>
      </w:r>
      <w:r w:rsidRPr="00475AED">
        <w:rPr>
          <w:rFonts w:ascii="Arial" w:eastAsiaTheme="minorHAnsi" w:hAnsi="Arial" w:cs="Arial"/>
          <w:sz w:val="18"/>
          <w:szCs w:val="18"/>
          <w:lang w:eastAsia="en-US"/>
        </w:rPr>
        <w:t xml:space="preserve"> (2012). Alphaviruses: Population genetics and determinants of emergence. </w:t>
      </w:r>
      <w:r w:rsidRPr="00475AED">
        <w:rPr>
          <w:rFonts w:ascii="Arial" w:eastAsiaTheme="minorHAnsi" w:hAnsi="Arial" w:cs="Arial"/>
          <w:i/>
          <w:sz w:val="18"/>
          <w:szCs w:val="18"/>
          <w:lang w:eastAsia="en-US"/>
        </w:rPr>
        <w:t>Anitiviral Res.,</w:t>
      </w:r>
      <w:r w:rsidRPr="00475AED">
        <w:rPr>
          <w:rFonts w:ascii="Arial" w:eastAsiaTheme="minorHAnsi" w:hAnsi="Arial" w:cs="Arial"/>
          <w:sz w:val="18"/>
          <w:szCs w:val="18"/>
          <w:lang w:eastAsia="en-US"/>
        </w:rPr>
        <w:t xml:space="preserve"> </w:t>
      </w:r>
      <w:r w:rsidRPr="00475AED">
        <w:rPr>
          <w:rFonts w:ascii="Arial" w:eastAsiaTheme="minorHAnsi" w:hAnsi="Arial" w:cs="Arial"/>
          <w:b/>
          <w:sz w:val="18"/>
          <w:szCs w:val="18"/>
          <w:lang w:eastAsia="en-US"/>
        </w:rPr>
        <w:t>94</w:t>
      </w:r>
      <w:r w:rsidRPr="00475AED">
        <w:rPr>
          <w:rFonts w:ascii="Arial" w:eastAsiaTheme="minorHAnsi" w:hAnsi="Arial" w:cs="Arial"/>
          <w:sz w:val="18"/>
          <w:szCs w:val="18"/>
          <w:lang w:eastAsia="en-US"/>
        </w:rPr>
        <w:t>, 242</w:t>
      </w:r>
      <w:r w:rsidRPr="00475AED">
        <w:rPr>
          <w:rFonts w:ascii="Arial" w:hAnsi="Arial" w:cs="Arial"/>
          <w:sz w:val="18"/>
          <w:szCs w:val="18"/>
        </w:rPr>
        <w:t>–</w:t>
      </w:r>
      <w:r w:rsidRPr="00475AED">
        <w:rPr>
          <w:rFonts w:ascii="Arial" w:eastAsiaTheme="minorHAnsi" w:hAnsi="Arial" w:cs="Arial"/>
          <w:sz w:val="18"/>
          <w:szCs w:val="18"/>
          <w:lang w:eastAsia="en-US"/>
        </w:rPr>
        <w:t>257.</w:t>
      </w:r>
    </w:p>
    <w:p w14:paraId="2C365848" w14:textId="32845FF4" w:rsidR="003C14BE" w:rsidRPr="00475AED" w:rsidRDefault="003C14BE" w:rsidP="003C14BE">
      <w:pPr>
        <w:spacing w:after="240" w:line="240" w:lineRule="auto"/>
        <w:rPr>
          <w:rFonts w:ascii="Arial" w:eastAsiaTheme="minorHAnsi" w:hAnsi="Arial" w:cs="Arial"/>
          <w:sz w:val="18"/>
          <w:szCs w:val="18"/>
          <w:u w:val="double"/>
          <w:lang w:eastAsia="en-US"/>
        </w:rPr>
      </w:pPr>
      <w:r w:rsidRPr="00475AED">
        <w:rPr>
          <w:rFonts w:ascii="Arial" w:eastAsiaTheme="minorHAnsi" w:hAnsi="Arial" w:cs="Arial"/>
          <w:smallCaps/>
          <w:sz w:val="18"/>
          <w:szCs w:val="18"/>
          <w:u w:val="double"/>
          <w:lang w:eastAsia="en-US"/>
        </w:rPr>
        <w:t>White G., Ottendorfer C., Graham S.</w:t>
      </w:r>
      <w:r w:rsidR="003936F7" w:rsidRPr="00475AED">
        <w:rPr>
          <w:rFonts w:ascii="Arial" w:eastAsiaTheme="minorHAnsi" w:hAnsi="Arial" w:cs="Arial"/>
          <w:smallCaps/>
          <w:sz w:val="18"/>
          <w:szCs w:val="18"/>
          <w:u w:val="double"/>
          <w:lang w:eastAsia="en-US"/>
        </w:rPr>
        <w:t xml:space="preserve"> &amp;</w:t>
      </w:r>
      <w:r w:rsidRPr="00475AED">
        <w:rPr>
          <w:rFonts w:ascii="Arial" w:eastAsiaTheme="minorHAnsi" w:hAnsi="Arial" w:cs="Arial"/>
          <w:smallCaps/>
          <w:sz w:val="18"/>
          <w:szCs w:val="18"/>
          <w:u w:val="double"/>
          <w:lang w:eastAsia="en-US"/>
        </w:rPr>
        <w:t xml:space="preserve"> Unnasch T.R</w:t>
      </w:r>
      <w:r w:rsidRPr="00475AED">
        <w:rPr>
          <w:rFonts w:ascii="Arial" w:eastAsiaTheme="minorHAnsi" w:hAnsi="Arial" w:cs="Arial"/>
          <w:sz w:val="18"/>
          <w:szCs w:val="18"/>
          <w:u w:val="double"/>
          <w:lang w:eastAsia="en-US"/>
        </w:rPr>
        <w:t xml:space="preserve">. (2011) Competency of reptiles and amphibians for eastern equine encephalitis virus. </w:t>
      </w:r>
      <w:r w:rsidRPr="00475AED">
        <w:rPr>
          <w:rFonts w:ascii="Arial" w:eastAsiaTheme="minorHAnsi" w:hAnsi="Arial" w:cs="Arial"/>
          <w:i/>
          <w:iCs/>
          <w:sz w:val="18"/>
          <w:szCs w:val="18"/>
          <w:u w:val="double"/>
          <w:lang w:eastAsia="en-US"/>
        </w:rPr>
        <w:t>Am. J. Trop.</w:t>
      </w:r>
      <w:r w:rsidR="00475AED">
        <w:rPr>
          <w:rFonts w:ascii="Arial" w:eastAsiaTheme="minorHAnsi" w:hAnsi="Arial" w:cs="Arial"/>
          <w:i/>
          <w:iCs/>
          <w:sz w:val="18"/>
          <w:szCs w:val="18"/>
          <w:u w:val="double"/>
          <w:lang w:eastAsia="en-US"/>
        </w:rPr>
        <w:t xml:space="preserve"> </w:t>
      </w:r>
      <w:r w:rsidRPr="00475AED">
        <w:rPr>
          <w:rFonts w:ascii="Arial" w:eastAsiaTheme="minorHAnsi" w:hAnsi="Arial" w:cs="Arial"/>
          <w:i/>
          <w:iCs/>
          <w:sz w:val="18"/>
          <w:szCs w:val="18"/>
          <w:u w:val="double"/>
          <w:lang w:eastAsia="en-US"/>
        </w:rPr>
        <w:t>Med. Hyg</w:t>
      </w:r>
      <w:r w:rsidRPr="00475AED">
        <w:rPr>
          <w:rFonts w:ascii="Arial" w:eastAsiaTheme="minorHAnsi" w:hAnsi="Arial" w:cs="Arial"/>
          <w:sz w:val="18"/>
          <w:szCs w:val="18"/>
          <w:u w:val="double"/>
          <w:lang w:eastAsia="en-US"/>
        </w:rPr>
        <w:t xml:space="preserve">., </w:t>
      </w:r>
      <w:r w:rsidRPr="00475AED">
        <w:rPr>
          <w:rFonts w:ascii="Arial" w:eastAsiaTheme="minorHAnsi" w:hAnsi="Arial" w:cs="Arial"/>
          <w:b/>
          <w:sz w:val="18"/>
          <w:szCs w:val="18"/>
          <w:u w:val="double"/>
          <w:lang w:eastAsia="en-US"/>
        </w:rPr>
        <w:t>85</w:t>
      </w:r>
      <w:r w:rsidRPr="00475AED">
        <w:rPr>
          <w:rFonts w:ascii="Arial" w:eastAsiaTheme="minorHAnsi" w:hAnsi="Arial" w:cs="Arial"/>
          <w:sz w:val="18"/>
          <w:szCs w:val="18"/>
          <w:u w:val="double"/>
          <w:lang w:eastAsia="en-US"/>
        </w:rPr>
        <w:t>, 421</w:t>
      </w:r>
      <w:r w:rsidR="003936F7" w:rsidRPr="00475AED">
        <w:rPr>
          <w:rFonts w:ascii="Arial" w:hAnsi="Arial" w:cs="Arial"/>
          <w:sz w:val="18"/>
          <w:szCs w:val="18"/>
          <w:u w:val="double"/>
        </w:rPr>
        <w:t>–</w:t>
      </w:r>
      <w:r w:rsidRPr="00475AED">
        <w:rPr>
          <w:rFonts w:ascii="Arial" w:eastAsiaTheme="minorHAnsi" w:hAnsi="Arial" w:cs="Arial"/>
          <w:sz w:val="18"/>
          <w:szCs w:val="18"/>
          <w:u w:val="double"/>
          <w:lang w:eastAsia="en-US"/>
        </w:rPr>
        <w:t>425.</w:t>
      </w:r>
    </w:p>
    <w:p w14:paraId="3BE57ABA" w14:textId="183CBE95" w:rsidR="003C14BE" w:rsidRPr="004E39F4" w:rsidRDefault="003C14BE" w:rsidP="003C14BE">
      <w:pPr>
        <w:spacing w:after="240" w:line="240" w:lineRule="auto"/>
        <w:rPr>
          <w:rFonts w:ascii="Arial" w:eastAsiaTheme="minorHAnsi" w:hAnsi="Arial" w:cs="Arial"/>
          <w:sz w:val="18"/>
          <w:szCs w:val="18"/>
          <w:u w:val="double"/>
          <w:lang w:eastAsia="en-US"/>
        </w:rPr>
      </w:pPr>
      <w:r w:rsidRPr="004E39F4">
        <w:rPr>
          <w:rFonts w:ascii="Arial" w:eastAsiaTheme="minorHAnsi" w:hAnsi="Arial" w:cs="Arial"/>
          <w:smallCaps/>
          <w:sz w:val="18"/>
          <w:szCs w:val="18"/>
          <w:u w:val="double"/>
          <w:lang w:eastAsia="en-US"/>
        </w:rPr>
        <w:t>Zacks M.A.</w:t>
      </w:r>
      <w:r w:rsidR="003936F7" w:rsidRPr="004E39F4">
        <w:rPr>
          <w:rFonts w:ascii="Arial" w:eastAsiaTheme="minorHAnsi" w:hAnsi="Arial" w:cs="Arial"/>
          <w:smallCaps/>
          <w:sz w:val="18"/>
          <w:szCs w:val="18"/>
          <w:u w:val="double"/>
          <w:lang w:eastAsia="en-US"/>
        </w:rPr>
        <w:t xml:space="preserve"> &amp; </w:t>
      </w:r>
      <w:r w:rsidRPr="004E39F4">
        <w:rPr>
          <w:rFonts w:ascii="Arial" w:eastAsiaTheme="minorHAnsi" w:hAnsi="Arial" w:cs="Arial"/>
          <w:smallCaps/>
          <w:sz w:val="18"/>
          <w:szCs w:val="18"/>
          <w:u w:val="double"/>
          <w:lang w:eastAsia="en-US"/>
        </w:rPr>
        <w:t>Paessler S</w:t>
      </w:r>
      <w:r w:rsidRPr="004E39F4">
        <w:rPr>
          <w:rFonts w:ascii="Arial" w:eastAsiaTheme="minorHAnsi" w:hAnsi="Arial" w:cs="Arial"/>
          <w:sz w:val="18"/>
          <w:szCs w:val="18"/>
          <w:u w:val="double"/>
          <w:lang w:eastAsia="en-US"/>
        </w:rPr>
        <w:t xml:space="preserve">. (2010). Encephalitic alphaviruses. </w:t>
      </w:r>
      <w:r w:rsidRPr="004E39F4">
        <w:rPr>
          <w:rFonts w:ascii="Arial" w:eastAsiaTheme="minorHAnsi" w:hAnsi="Arial" w:cs="Arial"/>
          <w:i/>
          <w:iCs/>
          <w:sz w:val="18"/>
          <w:szCs w:val="18"/>
          <w:u w:val="double"/>
          <w:lang w:eastAsia="en-US"/>
        </w:rPr>
        <w:t>Vet. Microbiol</w:t>
      </w:r>
      <w:r w:rsidRPr="004E39F4">
        <w:rPr>
          <w:rFonts w:ascii="Arial" w:eastAsiaTheme="minorHAnsi" w:hAnsi="Arial" w:cs="Arial"/>
          <w:sz w:val="18"/>
          <w:szCs w:val="18"/>
          <w:u w:val="double"/>
          <w:lang w:eastAsia="en-US"/>
        </w:rPr>
        <w:t xml:space="preserve">., </w:t>
      </w:r>
      <w:r w:rsidRPr="004E39F4">
        <w:rPr>
          <w:rFonts w:ascii="Arial" w:eastAsiaTheme="minorHAnsi" w:hAnsi="Arial" w:cs="Arial"/>
          <w:b/>
          <w:sz w:val="18"/>
          <w:szCs w:val="18"/>
          <w:u w:val="double"/>
          <w:lang w:eastAsia="en-US"/>
        </w:rPr>
        <w:t>140</w:t>
      </w:r>
      <w:r w:rsidRPr="004E39F4">
        <w:rPr>
          <w:rFonts w:ascii="Arial" w:eastAsiaTheme="minorHAnsi" w:hAnsi="Arial" w:cs="Arial"/>
          <w:sz w:val="18"/>
          <w:szCs w:val="18"/>
          <w:u w:val="double"/>
          <w:lang w:eastAsia="en-US"/>
        </w:rPr>
        <w:t>, 281</w:t>
      </w:r>
      <w:r w:rsidR="003936F7" w:rsidRPr="004E39F4">
        <w:rPr>
          <w:rFonts w:ascii="Arial" w:hAnsi="Arial" w:cs="Arial"/>
          <w:sz w:val="18"/>
          <w:szCs w:val="18"/>
          <w:u w:val="double"/>
        </w:rPr>
        <w:t>–</w:t>
      </w:r>
      <w:r w:rsidRPr="004E39F4">
        <w:rPr>
          <w:rFonts w:ascii="Arial" w:eastAsiaTheme="minorHAnsi" w:hAnsi="Arial" w:cs="Arial"/>
          <w:sz w:val="18"/>
          <w:szCs w:val="18"/>
          <w:u w:val="double"/>
          <w:lang w:eastAsia="en-US"/>
        </w:rPr>
        <w:t>286.</w:t>
      </w:r>
    </w:p>
    <w:p w14:paraId="6DA210BA" w14:textId="7633296C" w:rsidR="003C14BE" w:rsidRPr="003C14BE" w:rsidRDefault="003C14BE" w:rsidP="003C14BE">
      <w:pPr>
        <w:spacing w:after="240" w:line="240" w:lineRule="auto"/>
        <w:rPr>
          <w:rFonts w:ascii="Arial" w:hAnsi="Arial" w:cs="Arial"/>
          <w:sz w:val="18"/>
          <w:szCs w:val="18"/>
          <w:u w:val="double"/>
        </w:rPr>
      </w:pPr>
      <w:r w:rsidRPr="008A54B4">
        <w:rPr>
          <w:rFonts w:ascii="Arial" w:hAnsi="Arial" w:cs="Arial"/>
          <w:smallCaps/>
          <w:sz w:val="18"/>
          <w:szCs w:val="18"/>
          <w:u w:val="double"/>
        </w:rPr>
        <w:t>Zehmer R.B., Dean P.B., Sudia W.D., Calisher C.H., Sather G.E.</w:t>
      </w:r>
      <w:r w:rsidR="003936F7" w:rsidRPr="008A54B4">
        <w:rPr>
          <w:rFonts w:ascii="Arial" w:hAnsi="Arial" w:cs="Arial"/>
          <w:smallCaps/>
          <w:sz w:val="18"/>
          <w:szCs w:val="18"/>
          <w:u w:val="double"/>
        </w:rPr>
        <w:t xml:space="preserve"> &amp;</w:t>
      </w:r>
      <w:r w:rsidRPr="008A54B4">
        <w:rPr>
          <w:rFonts w:ascii="Arial" w:hAnsi="Arial" w:cs="Arial"/>
          <w:smallCaps/>
          <w:sz w:val="18"/>
          <w:szCs w:val="18"/>
          <w:u w:val="double"/>
        </w:rPr>
        <w:t xml:space="preserve"> Parker R.</w:t>
      </w:r>
      <w:r w:rsidRPr="008A54B4">
        <w:rPr>
          <w:rFonts w:ascii="Arial" w:hAnsi="Arial" w:cs="Arial"/>
          <w:sz w:val="18"/>
          <w:szCs w:val="18"/>
          <w:u w:val="double"/>
        </w:rPr>
        <w:t xml:space="preserve">L. (1974). Venezuelan equine encephalitis epidemic in Texas, 1971. </w:t>
      </w:r>
      <w:r w:rsidRPr="008A54B4">
        <w:rPr>
          <w:rFonts w:ascii="Arial" w:hAnsi="Arial" w:cs="Arial"/>
          <w:i/>
          <w:iCs/>
          <w:sz w:val="18"/>
          <w:szCs w:val="18"/>
          <w:u w:val="double"/>
        </w:rPr>
        <w:t>Health Serv. Rep</w:t>
      </w:r>
      <w:r w:rsidRPr="008A54B4">
        <w:rPr>
          <w:rFonts w:ascii="Arial" w:hAnsi="Arial" w:cs="Arial"/>
          <w:sz w:val="18"/>
          <w:szCs w:val="18"/>
          <w:u w:val="double"/>
        </w:rPr>
        <w:t xml:space="preserve">., </w:t>
      </w:r>
      <w:r w:rsidRPr="008A54B4">
        <w:rPr>
          <w:rFonts w:ascii="Arial" w:hAnsi="Arial" w:cs="Arial"/>
          <w:b/>
          <w:sz w:val="18"/>
          <w:szCs w:val="18"/>
          <w:u w:val="double"/>
        </w:rPr>
        <w:t>89,</w:t>
      </w:r>
      <w:r w:rsidRPr="008A54B4">
        <w:rPr>
          <w:rFonts w:ascii="Arial" w:hAnsi="Arial" w:cs="Arial"/>
          <w:sz w:val="18"/>
          <w:szCs w:val="18"/>
          <w:u w:val="double"/>
        </w:rPr>
        <w:t xml:space="preserve"> 278–282</w:t>
      </w:r>
      <w:r w:rsidRPr="008A54B4">
        <w:rPr>
          <w:rFonts w:ascii="Arial" w:hAnsi="Arial" w:cs="Arial"/>
          <w:color w:val="00679C"/>
          <w:sz w:val="18"/>
          <w:szCs w:val="18"/>
          <w:u w:val="double"/>
        </w:rPr>
        <w:t>.</w:t>
      </w:r>
    </w:p>
    <w:p w14:paraId="75B2A460" w14:textId="77777777" w:rsidR="00DA0389" w:rsidRPr="00092FC6" w:rsidRDefault="00DA0389" w:rsidP="00DA0389">
      <w:pPr>
        <w:pStyle w:val="rtoiles"/>
        <w:rPr>
          <w:lang w:val="en-IE"/>
        </w:rPr>
      </w:pPr>
      <w:bookmarkStart w:id="1" w:name="resmicr"/>
      <w:r w:rsidRPr="00092FC6">
        <w:rPr>
          <w:lang w:val="en-IE"/>
        </w:rPr>
        <w:t>*</w:t>
      </w:r>
      <w:r w:rsidRPr="00092FC6">
        <w:rPr>
          <w:lang w:val="en-IE"/>
        </w:rPr>
        <w:br/>
        <w:t>*   *</w:t>
      </w:r>
    </w:p>
    <w:bookmarkEnd w:id="1"/>
    <w:p w14:paraId="6158DF66" w14:textId="66FA41FF" w:rsidR="00276323" w:rsidRPr="00092FC6" w:rsidRDefault="00276323" w:rsidP="0028384E">
      <w:pPr>
        <w:pStyle w:val="Reflabnote"/>
        <w:spacing w:after="240"/>
      </w:pPr>
      <w:r w:rsidRPr="00092FC6">
        <w:rPr>
          <w:b/>
          <w:bCs/>
          <w:lang w:val="en-IE"/>
        </w:rPr>
        <w:t>NB:</w:t>
      </w:r>
      <w:r w:rsidRPr="00092FC6">
        <w:t xml:space="preserve"> There </w:t>
      </w:r>
      <w:r w:rsidR="00894F1C" w:rsidRPr="00092FC6">
        <w:t>are</w:t>
      </w:r>
      <w:r w:rsidR="00894F1C" w:rsidRPr="00092FC6">
        <w:rPr>
          <w:lang w:val="en-IE"/>
        </w:rPr>
        <w:t xml:space="preserve"> OIE Reference Laboratories</w:t>
      </w:r>
      <w:r w:rsidRPr="00092FC6">
        <w:rPr>
          <w:lang w:val="en-IE"/>
        </w:rPr>
        <w:t xml:space="preserve"> for </w:t>
      </w:r>
      <w:r w:rsidRPr="00092FC6">
        <w:rPr>
          <w:iCs/>
        </w:rPr>
        <w:t>Equine encephalomyelitis (Eastern</w:t>
      </w:r>
      <w:r w:rsidR="00894F1C" w:rsidRPr="00092FC6">
        <w:rPr>
          <w:iCs/>
        </w:rPr>
        <w:t>,</w:t>
      </w:r>
      <w:r w:rsidRPr="00092FC6">
        <w:rPr>
          <w:iCs/>
        </w:rPr>
        <w:t xml:space="preserve"> Western</w:t>
      </w:r>
      <w:r w:rsidR="00894F1C" w:rsidRPr="00092FC6">
        <w:rPr>
          <w:iCs/>
        </w:rPr>
        <w:t xml:space="preserve"> and Venezuelan</w:t>
      </w:r>
      <w:r w:rsidRPr="00092FC6">
        <w:rPr>
          <w:iCs/>
        </w:rPr>
        <w:t>)</w:t>
      </w:r>
      <w:r w:rsidRPr="00092FC6">
        <w:rPr>
          <w:lang w:val="en-IE"/>
        </w:rPr>
        <w:t>:</w:t>
      </w:r>
      <w:r w:rsidRPr="00092FC6">
        <w:t xml:space="preserve"> </w:t>
      </w:r>
      <w:r w:rsidRPr="00092FC6">
        <w:br/>
        <w:t xml:space="preserve">(see Table in Part </w:t>
      </w:r>
      <w:r w:rsidR="00CD1F13" w:rsidRPr="00092FC6">
        <w:t>4</w:t>
      </w:r>
      <w:r w:rsidRPr="00092FC6">
        <w:t xml:space="preserve"> of this </w:t>
      </w:r>
      <w:r w:rsidRPr="00092FC6">
        <w:rPr>
          <w:i/>
        </w:rPr>
        <w:t xml:space="preserve">Terrestrial Manual </w:t>
      </w:r>
      <w:r w:rsidRPr="00092FC6">
        <w:t xml:space="preserve">or consult the OIE </w:t>
      </w:r>
      <w:r w:rsidR="00A3569F" w:rsidRPr="00092FC6">
        <w:t xml:space="preserve">web </w:t>
      </w:r>
      <w:r w:rsidRPr="00092FC6">
        <w:t xml:space="preserve">site for the most up-to-date list: </w:t>
      </w:r>
      <w:r w:rsidR="00E84954" w:rsidRPr="00092FC6">
        <w:br/>
      </w:r>
      <w:hyperlink r:id="rId21" w:history="1">
        <w:r w:rsidR="00E84954" w:rsidRPr="00092FC6">
          <w:rPr>
            <w:rStyle w:val="Lienhypertexte"/>
            <w:u w:val="none"/>
          </w:rPr>
          <w:t>http://www.oie.int/en/scientific-expertise/reference-laboratories/list-of-laboratories/</w:t>
        </w:r>
      </w:hyperlink>
      <w:hyperlink r:id="rId22" w:history="1"/>
      <w:r w:rsidRPr="00092FC6">
        <w:t xml:space="preserve">). </w:t>
      </w:r>
      <w:r w:rsidRPr="00092FC6">
        <w:br/>
        <w:t xml:space="preserve">Please contact the OIE Reference Laboratories for any further information on </w:t>
      </w:r>
      <w:r w:rsidRPr="00092FC6">
        <w:br/>
        <w:t xml:space="preserve">diagnostic tests, reagents and vaccines for </w:t>
      </w:r>
      <w:r w:rsidR="00823A51" w:rsidRPr="00092FC6">
        <w:rPr>
          <w:iCs/>
        </w:rPr>
        <w:t>e</w:t>
      </w:r>
      <w:r w:rsidRPr="00092FC6">
        <w:rPr>
          <w:iCs/>
        </w:rPr>
        <w:t>quine encephalomyelitis (</w:t>
      </w:r>
      <w:r w:rsidR="0028298C" w:rsidRPr="00092FC6">
        <w:rPr>
          <w:iCs/>
        </w:rPr>
        <w:t>Eastern, Western and Venezuelan</w:t>
      </w:r>
      <w:r w:rsidRPr="00092FC6">
        <w:rPr>
          <w:iCs/>
        </w:rPr>
        <w:t>)</w:t>
      </w:r>
    </w:p>
    <w:p w14:paraId="297F34E2" w14:textId="5DEEBECA" w:rsidR="003F4C93" w:rsidRPr="00092FC6" w:rsidRDefault="003F4C93" w:rsidP="003A37E9">
      <w:pPr>
        <w:pStyle w:val="Reflabnote"/>
        <w:spacing w:before="0" w:after="240"/>
      </w:pPr>
      <w:r w:rsidRPr="00092FC6">
        <w:rPr>
          <w:b/>
          <w:smallCaps/>
        </w:rPr>
        <w:t>NB:</w:t>
      </w:r>
      <w:r w:rsidRPr="00092FC6">
        <w:rPr>
          <w:smallCaps/>
        </w:rPr>
        <w:t xml:space="preserve"> </w:t>
      </w:r>
      <w:r w:rsidR="008D19F6" w:rsidRPr="00092FC6">
        <w:rPr>
          <w:iCs/>
          <w:smallCaps/>
        </w:rPr>
        <w:t xml:space="preserve">Equine encephalomyelitis (Eastern and Western) </w:t>
      </w:r>
      <w:r w:rsidR="008D19F6" w:rsidRPr="00092FC6">
        <w:rPr>
          <w:smallCaps/>
        </w:rPr>
        <w:t>f</w:t>
      </w:r>
      <w:r w:rsidRPr="00092FC6">
        <w:rPr>
          <w:smallCaps/>
        </w:rPr>
        <w:t>irst adopted in 1991</w:t>
      </w:r>
      <w:r w:rsidR="0080641B" w:rsidRPr="00092FC6">
        <w:rPr>
          <w:smallCaps/>
        </w:rPr>
        <w:t>;</w:t>
      </w:r>
      <w:r w:rsidRPr="00092FC6">
        <w:rPr>
          <w:smallCaps/>
        </w:rPr>
        <w:t xml:space="preserve"> </w:t>
      </w:r>
      <w:r w:rsidR="008D19F6" w:rsidRPr="00092FC6">
        <w:rPr>
          <w:iCs/>
          <w:smallCaps/>
        </w:rPr>
        <w:t>Venezuelan</w:t>
      </w:r>
      <w:r w:rsidR="008D19F6" w:rsidRPr="00092FC6">
        <w:rPr>
          <w:smallCaps/>
        </w:rPr>
        <w:t xml:space="preserve"> </w:t>
      </w:r>
      <w:r w:rsidR="008D19F6" w:rsidRPr="00092FC6">
        <w:rPr>
          <w:iCs/>
          <w:smallCaps/>
        </w:rPr>
        <w:t>equine encephalomyelitis</w:t>
      </w:r>
      <w:r w:rsidR="008D19F6" w:rsidRPr="00092FC6">
        <w:rPr>
          <w:smallCaps/>
        </w:rPr>
        <w:t xml:space="preserve"> first adopted in 1989.</w:t>
      </w:r>
      <w:r w:rsidR="008D19F6" w:rsidRPr="00092FC6">
        <w:rPr>
          <w:iCs/>
          <w:smallCaps/>
        </w:rPr>
        <w:t xml:space="preserve"> </w:t>
      </w:r>
      <w:r w:rsidRPr="00092FC6">
        <w:rPr>
          <w:smallCaps/>
        </w:rPr>
        <w:t>Most recent updates adopted in 201</w:t>
      </w:r>
      <w:r w:rsidR="00653CFC" w:rsidRPr="00092FC6">
        <w:rPr>
          <w:smallCaps/>
        </w:rPr>
        <w:t>9</w:t>
      </w:r>
      <w:r w:rsidR="0080641B" w:rsidRPr="00092FC6">
        <w:rPr>
          <w:smallCaps/>
        </w:rPr>
        <w:t>.</w:t>
      </w:r>
    </w:p>
    <w:p w14:paraId="2F8118CF" w14:textId="77777777" w:rsidR="00D072F7" w:rsidRPr="00092FC6" w:rsidRDefault="00D072F7" w:rsidP="00F95808">
      <w:pPr>
        <w:spacing w:before="240" w:after="240" w:line="240" w:lineRule="auto"/>
        <w:jc w:val="center"/>
        <w:rPr>
          <w:rFonts w:ascii="Arial" w:hAnsi="Arial" w:cs="Arial"/>
          <w:sz w:val="18"/>
          <w:szCs w:val="18"/>
        </w:rPr>
      </w:pPr>
    </w:p>
    <w:sectPr w:rsidR="00D072F7" w:rsidRPr="00092FC6" w:rsidSect="00C17C71">
      <w:footerReference w:type="first" r:id="rId23"/>
      <w:type w:val="oddPage"/>
      <w:pgSz w:w="11907" w:h="16840" w:code="9"/>
      <w:pgMar w:top="-1418" w:right="1418" w:bottom="1418" w:left="1418" w:header="567" w:footer="567" w:gutter="0"/>
      <w:paperSrc w:first="7" w:other="7"/>
      <w:lnNumType w:countBy="1" w:restart="continuous"/>
      <w:pgNumType w:start="1"/>
      <w:cols w:space="72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CD413" w16cex:dateUtc="2020-08-23T15: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810FB" w14:textId="77777777" w:rsidR="0090157B" w:rsidRDefault="0090157B">
      <w:r>
        <w:separator/>
      </w:r>
    </w:p>
  </w:endnote>
  <w:endnote w:type="continuationSeparator" w:id="0">
    <w:p w14:paraId="41D53C46" w14:textId="77777777" w:rsidR="0090157B" w:rsidRDefault="0090157B">
      <w:r>
        <w:continuationSeparator/>
      </w:r>
    </w:p>
  </w:endnote>
  <w:endnote w:type="continuationNotice" w:id="1">
    <w:p w14:paraId="496234B0" w14:textId="77777777" w:rsidR="0090157B" w:rsidRDefault="009015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swiss"/>
    <w:pitch w:val="variable"/>
    <w:sig w:usb0="00000000"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FFE95" w14:textId="6D7FE1A2" w:rsidR="00647F9E" w:rsidRDefault="00647F9E" w:rsidP="00001332">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sidR="004852D3">
      <w:rPr>
        <w:rFonts w:ascii="Ottawa" w:hAnsi="Ottawa"/>
        <w:noProof/>
        <w:sz w:val="22"/>
      </w:rPr>
      <w:t>12</w:t>
    </w:r>
    <w:r>
      <w:rPr>
        <w:rFonts w:ascii="Ottawa" w:hAnsi="Ottawa"/>
        <w:sz w:val="22"/>
      </w:rPr>
      <w:fldChar w:fldCharType="end"/>
    </w:r>
    <w:r>
      <w:rPr>
        <w:rFonts w:ascii="Ottawa" w:hAnsi="Ottawa"/>
        <w:i/>
        <w:sz w:val="18"/>
      </w:rPr>
      <w:tab/>
    </w:r>
    <w:r>
      <w:rPr>
        <w:rFonts w:ascii="Ottawa" w:hAnsi="Ottawa"/>
        <w:sz w:val="22"/>
      </w:rPr>
      <w:t xml:space="preserve">OIE </w:t>
    </w:r>
    <w:r w:rsidRPr="00FB3635">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CBB85" w14:textId="4E0D1EB1" w:rsidR="00647F9E" w:rsidRDefault="00647F9E" w:rsidP="00001332">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FB3635">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AF0609">
      <w:rPr>
        <w:rFonts w:ascii="Ottawa" w:hAnsi="Ottawa"/>
        <w:noProof/>
        <w:sz w:val="22"/>
      </w:rPr>
      <w:t>11</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9DBC6" w14:textId="77777777" w:rsidR="00FB5948" w:rsidRDefault="00FB5948" w:rsidP="00001332">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sz w:val="22"/>
      </w:rPr>
      <w:t>Manual</w:t>
    </w:r>
    <w:r>
      <w:rPr>
        <w:rFonts w:ascii="Ottawa" w:hAnsi="Ottawa"/>
        <w:sz w:val="22"/>
      </w:rPr>
      <w:t xml:space="preserve"> </w:t>
    </w:r>
    <w:r w:rsidRPr="00FB3635">
      <w:rPr>
        <w:rFonts w:ascii="Ottawa" w:hAnsi="Ottawa"/>
        <w:i/>
        <w:iCs/>
        <w:sz w:val="22"/>
      </w:rPr>
      <w:t>Terrestrial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6C3BA" w14:textId="77777777" w:rsidR="0090157B" w:rsidRDefault="0090157B">
      <w:r>
        <w:separator/>
      </w:r>
    </w:p>
  </w:footnote>
  <w:footnote w:type="continuationSeparator" w:id="0">
    <w:p w14:paraId="59D5488D" w14:textId="77777777" w:rsidR="0090157B" w:rsidRDefault="0090157B">
      <w:r>
        <w:continuationSeparator/>
      </w:r>
    </w:p>
  </w:footnote>
  <w:footnote w:type="continuationNotice" w:id="1">
    <w:p w14:paraId="37BA14D2" w14:textId="77777777" w:rsidR="0090157B" w:rsidRDefault="0090157B">
      <w:pPr>
        <w:spacing w:line="240" w:lineRule="auto"/>
      </w:pPr>
    </w:p>
  </w:footnote>
  <w:footnote w:id="2">
    <w:p w14:paraId="1CD2AEDB" w14:textId="77777777" w:rsidR="00647F9E" w:rsidRPr="00E21ADE" w:rsidRDefault="00647F9E" w:rsidP="007F14E4">
      <w:pPr>
        <w:pStyle w:val="Notedebasdepage"/>
        <w:spacing w:line="240" w:lineRule="auto"/>
        <w:ind w:left="426" w:hanging="426"/>
        <w:rPr>
          <w:rFonts w:ascii="Arial" w:hAnsi="Arial" w:cs="Arial"/>
          <w:sz w:val="16"/>
          <w:szCs w:val="16"/>
          <w:u w:val="double"/>
          <w:lang w:val="fr-FR"/>
        </w:rPr>
      </w:pPr>
      <w:r w:rsidRPr="006A44E9">
        <w:rPr>
          <w:rStyle w:val="Appelnotedebasdep"/>
          <w:rFonts w:ascii="Arial" w:hAnsi="Arial" w:cs="Arial"/>
          <w:sz w:val="16"/>
          <w:szCs w:val="16"/>
          <w:u w:val="double"/>
          <w:vertAlign w:val="baseline"/>
        </w:rPr>
        <w:footnoteRef/>
      </w:r>
      <w:r w:rsidRPr="006A44E9">
        <w:rPr>
          <w:rFonts w:ascii="Arial" w:hAnsi="Arial" w:cs="Arial"/>
          <w:sz w:val="16"/>
          <w:szCs w:val="16"/>
          <w:u w:val="double"/>
        </w:rPr>
        <w:t xml:space="preserve"> </w:t>
      </w:r>
      <w:r w:rsidRPr="006A44E9">
        <w:rPr>
          <w:rFonts w:ascii="Arial" w:hAnsi="Arial" w:cs="Arial"/>
          <w:sz w:val="16"/>
          <w:szCs w:val="16"/>
          <w:u w:val="double"/>
          <w:lang w:val="fr-FR"/>
        </w:rPr>
        <w:tab/>
      </w:r>
      <w:hyperlink r:id="rId1" w:history="1">
        <w:r w:rsidRPr="006A44E9">
          <w:rPr>
            <w:rStyle w:val="Lienhypertexte"/>
            <w:rFonts w:ascii="Arial" w:hAnsi="Arial" w:cs="Arial"/>
            <w:sz w:val="16"/>
            <w:szCs w:val="16"/>
            <w:u w:val="double"/>
            <w:lang w:val="fr-FR"/>
          </w:rPr>
          <w:t>http://www.oie.int/en/animal-health-in-the-world/the-world-animal-health-information-system/the-world-animal-health-information-system/</w:t>
        </w:r>
      </w:hyperlink>
      <w:r w:rsidRPr="00E21ADE">
        <w:rPr>
          <w:rFonts w:ascii="Arial" w:hAnsi="Arial" w:cs="Arial"/>
          <w:sz w:val="16"/>
          <w:szCs w:val="16"/>
          <w:u w:val="double"/>
          <w:lang w:val="fr-FR"/>
        </w:rPr>
        <w:t xml:space="preserve"> </w:t>
      </w:r>
    </w:p>
  </w:footnote>
  <w:footnote w:id="3">
    <w:p w14:paraId="6EEAC1A7" w14:textId="47443141" w:rsidR="00647F9E" w:rsidRPr="00E872B0" w:rsidRDefault="00647F9E" w:rsidP="00E872B0">
      <w:pPr>
        <w:pStyle w:val="Notedebasdepage"/>
        <w:spacing w:line="240" w:lineRule="auto"/>
        <w:ind w:left="426" w:hanging="426"/>
        <w:rPr>
          <w:rFonts w:ascii="Arial" w:hAnsi="Arial" w:cs="Arial"/>
          <w:sz w:val="16"/>
          <w:szCs w:val="16"/>
        </w:rPr>
      </w:pPr>
      <w:r w:rsidRPr="00E872B0">
        <w:rPr>
          <w:rStyle w:val="Appelnotedebasdep"/>
          <w:rFonts w:ascii="Arial" w:hAnsi="Arial" w:cs="Arial"/>
          <w:sz w:val="16"/>
          <w:szCs w:val="16"/>
          <w:vertAlign w:val="baseline"/>
        </w:rPr>
        <w:footnoteRef/>
      </w:r>
      <w:r w:rsidRPr="00E872B0">
        <w:rPr>
          <w:rFonts w:ascii="Arial" w:hAnsi="Arial" w:cs="Arial"/>
          <w:sz w:val="16"/>
          <w:szCs w:val="16"/>
        </w:rPr>
        <w:t xml:space="preserve"> </w:t>
      </w:r>
      <w:r w:rsidRPr="00E872B0">
        <w:rPr>
          <w:rFonts w:ascii="Arial" w:hAnsi="Arial" w:cs="Arial"/>
          <w:sz w:val="16"/>
          <w:szCs w:val="16"/>
        </w:rPr>
        <w:tab/>
        <w:t>For WEE and VEE, not all test modalities have been thoroughly evaluated in naturally infected horses</w:t>
      </w:r>
    </w:p>
  </w:footnote>
  <w:footnote w:id="4">
    <w:p w14:paraId="1B3B4838" w14:textId="77777777" w:rsidR="00647F9E" w:rsidRPr="00E872B0" w:rsidRDefault="00647F9E" w:rsidP="00E872B0">
      <w:pPr>
        <w:pStyle w:val="Notedebasdepage"/>
        <w:tabs>
          <w:tab w:val="left" w:pos="-1843"/>
        </w:tabs>
        <w:spacing w:line="240" w:lineRule="auto"/>
        <w:ind w:left="426" w:hanging="426"/>
        <w:rPr>
          <w:rFonts w:ascii="Arial" w:hAnsi="Arial" w:cs="Arial"/>
          <w:sz w:val="16"/>
          <w:szCs w:val="16"/>
        </w:rPr>
      </w:pPr>
      <w:r w:rsidRPr="00E872B0">
        <w:rPr>
          <w:rStyle w:val="Appelnotedebasdep"/>
          <w:rFonts w:ascii="Arial" w:hAnsi="Arial" w:cs="Arial"/>
          <w:sz w:val="16"/>
          <w:szCs w:val="16"/>
          <w:vertAlign w:val="baseline"/>
        </w:rPr>
        <w:footnoteRef/>
      </w:r>
      <w:r w:rsidRPr="00E872B0">
        <w:rPr>
          <w:rFonts w:ascii="Arial" w:hAnsi="Arial" w:cs="Arial"/>
          <w:sz w:val="16"/>
          <w:szCs w:val="16"/>
        </w:rPr>
        <w:t xml:space="preserve"> </w:t>
      </w:r>
      <w:r w:rsidRPr="00E872B0">
        <w:rPr>
          <w:rFonts w:ascii="Arial" w:hAnsi="Arial" w:cs="Arial"/>
          <w:sz w:val="16"/>
          <w:szCs w:val="16"/>
        </w:rPr>
        <w:tab/>
        <w:t>A combination of agent identification methods applied on the same clinical sample is recommended.</w:t>
      </w:r>
    </w:p>
  </w:footnote>
  <w:footnote w:id="5">
    <w:p w14:paraId="07962659" w14:textId="2D3B743D" w:rsidR="00647F9E" w:rsidRPr="00B1320E" w:rsidRDefault="00647F9E" w:rsidP="00B1320E">
      <w:pPr>
        <w:pStyle w:val="Notedebasdepage"/>
        <w:spacing w:line="240" w:lineRule="auto"/>
        <w:ind w:left="426" w:hanging="426"/>
        <w:rPr>
          <w:rFonts w:ascii="Arial" w:hAnsi="Arial" w:cs="Arial"/>
          <w:sz w:val="16"/>
          <w:szCs w:val="16"/>
        </w:rPr>
      </w:pPr>
      <w:r w:rsidRPr="00B1320E">
        <w:rPr>
          <w:rStyle w:val="Appelnotedebasdep"/>
          <w:rFonts w:ascii="Arial" w:hAnsi="Arial" w:cs="Arial"/>
          <w:sz w:val="16"/>
          <w:szCs w:val="16"/>
          <w:vertAlign w:val="baseline"/>
        </w:rPr>
        <w:footnoteRef/>
      </w:r>
      <w:r w:rsidRPr="00B1320E">
        <w:rPr>
          <w:rFonts w:ascii="Arial" w:hAnsi="Arial" w:cs="Arial"/>
          <w:sz w:val="16"/>
          <w:szCs w:val="16"/>
        </w:rPr>
        <w:t xml:space="preserve"> </w:t>
      </w:r>
      <w:r w:rsidRPr="00B1320E">
        <w:rPr>
          <w:rFonts w:ascii="Arial" w:hAnsi="Arial" w:cs="Arial"/>
          <w:sz w:val="16"/>
          <w:szCs w:val="16"/>
        </w:rPr>
        <w:tab/>
        <w:t>NVSL: National Veterinary Service Laboratories</w:t>
      </w:r>
      <w:r>
        <w:rPr>
          <w:rFonts w:ascii="Arial" w:hAnsi="Arial" w:cs="Arial"/>
          <w:sz w:val="16"/>
          <w:szCs w:val="16"/>
        </w:rPr>
        <w:t xml:space="preserve"> (of the USA).</w:t>
      </w:r>
    </w:p>
  </w:footnote>
  <w:footnote w:id="6">
    <w:p w14:paraId="1671AF8D" w14:textId="77777777" w:rsidR="00647F9E" w:rsidRDefault="00647F9E" w:rsidP="00C027D8">
      <w:pPr>
        <w:pStyle w:val="paraa"/>
        <w:spacing w:after="0"/>
        <w:ind w:hanging="425"/>
        <w:rPr>
          <w:sz w:val="16"/>
        </w:rPr>
      </w:pPr>
      <w:r>
        <w:rPr>
          <w:rStyle w:val="Appelnotedebasdep"/>
          <w:sz w:val="16"/>
          <w:vertAlign w:val="baseline"/>
        </w:rPr>
        <w:footnoteRef/>
      </w:r>
      <w:r>
        <w:rPr>
          <w:sz w:val="16"/>
        </w:rPr>
        <w:t xml:space="preserve"> </w:t>
      </w:r>
      <w:r>
        <w:rPr>
          <w:sz w:val="16"/>
        </w:rPr>
        <w:tab/>
        <w:t>RBCs from adult domestic white male geese are preferred, but RBCs from other male geese can be used. If cells from female geese are used, there may be more test variability. It has been reported that rooster RBCs cause a decrease in the sensitivity of the test.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8C961" w14:textId="528E5502" w:rsidR="00647F9E" w:rsidRPr="00470354" w:rsidRDefault="00647F9E" w:rsidP="00EF1D5C">
    <w:pPr>
      <w:pBdr>
        <w:bottom w:val="single" w:sz="6" w:space="1" w:color="auto"/>
      </w:pBdr>
      <w:spacing w:line="240" w:lineRule="auto"/>
      <w:ind w:right="-1"/>
      <w:jc w:val="center"/>
      <w:rPr>
        <w:rFonts w:ascii="Ottawa" w:hAnsi="Ottawa"/>
        <w:i/>
      </w:rPr>
    </w:pPr>
    <w:r>
      <w:rPr>
        <w:rFonts w:ascii="Ottawa" w:hAnsi="Ottawa"/>
        <w:i/>
      </w:rPr>
      <w:t xml:space="preserve">Chapter 3.5.5. – Equine encephalomyelitis </w:t>
    </w:r>
    <w:r w:rsidRPr="001B68A1">
      <w:rPr>
        <w:rFonts w:ascii="Ottawa" w:hAnsi="Ottawa"/>
        <w:iCs/>
      </w:rPr>
      <w:t>(</w:t>
    </w:r>
    <w:r w:rsidRPr="00470354">
      <w:rPr>
        <w:rFonts w:ascii="Ottawa" w:hAnsi="Ottawa"/>
        <w:i/>
      </w:rPr>
      <w:t>Eastern</w:t>
    </w:r>
    <w:r w:rsidRPr="00DF628E">
      <w:rPr>
        <w:rFonts w:ascii="Ottawa" w:hAnsi="Ottawa"/>
        <w:i/>
      </w:rPr>
      <w:t>,</w:t>
    </w:r>
    <w:r w:rsidRPr="00470354">
      <w:rPr>
        <w:rFonts w:ascii="Ottawa" w:hAnsi="Ottawa"/>
        <w:i/>
      </w:rPr>
      <w:t xml:space="preserve"> Western</w:t>
    </w:r>
    <w:r w:rsidRPr="00DF628E">
      <w:rPr>
        <w:rFonts w:ascii="Ottawa" w:hAnsi="Ottawa"/>
        <w:i/>
      </w:rPr>
      <w:t xml:space="preserve"> and Venezuelan</w:t>
    </w:r>
    <w:r w:rsidRPr="00470354">
      <w:rPr>
        <w:rFonts w:ascii="Ottawa" w:hAnsi="Ottawa"/>
        <w:iC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7A58A" w14:textId="26A10E00" w:rsidR="00647F9E" w:rsidRPr="00470354" w:rsidRDefault="00647F9E" w:rsidP="00EF1D5C">
    <w:pPr>
      <w:pBdr>
        <w:bottom w:val="single" w:sz="6" w:space="1" w:color="auto"/>
      </w:pBdr>
      <w:spacing w:line="240" w:lineRule="auto"/>
      <w:ind w:right="-1"/>
      <w:jc w:val="center"/>
      <w:rPr>
        <w:rFonts w:ascii="Ottawa" w:hAnsi="Ottawa"/>
        <w:i/>
      </w:rPr>
    </w:pPr>
    <w:r w:rsidRPr="00470354">
      <w:rPr>
        <w:rFonts w:ascii="Ottawa" w:hAnsi="Ottawa"/>
        <w:i/>
      </w:rPr>
      <w:t xml:space="preserve">Chapter </w:t>
    </w:r>
    <w:r>
      <w:rPr>
        <w:rFonts w:ascii="Ottawa" w:hAnsi="Ottawa"/>
        <w:i/>
      </w:rPr>
      <w:t>3</w:t>
    </w:r>
    <w:r w:rsidRPr="00470354">
      <w:rPr>
        <w:rFonts w:ascii="Ottawa" w:hAnsi="Ottawa"/>
        <w:i/>
      </w:rPr>
      <w:t xml:space="preserve">.5.5. – Equine encephalomyelitis </w:t>
    </w:r>
    <w:r w:rsidRPr="00470354">
      <w:rPr>
        <w:rFonts w:ascii="Ottawa" w:hAnsi="Ottawa"/>
        <w:iCs/>
      </w:rPr>
      <w:t>(</w:t>
    </w:r>
    <w:r w:rsidRPr="00470354">
      <w:rPr>
        <w:rFonts w:ascii="Ottawa" w:hAnsi="Ottawa"/>
        <w:i/>
      </w:rPr>
      <w:t>Eastern</w:t>
    </w:r>
    <w:r w:rsidRPr="00DF628E">
      <w:rPr>
        <w:rFonts w:ascii="Ottawa" w:hAnsi="Ottawa"/>
        <w:i/>
      </w:rPr>
      <w:t>,</w:t>
    </w:r>
    <w:r w:rsidRPr="00470354">
      <w:rPr>
        <w:rFonts w:ascii="Ottawa" w:hAnsi="Ottawa"/>
        <w:i/>
      </w:rPr>
      <w:t xml:space="preserve"> Western </w:t>
    </w:r>
    <w:r w:rsidRPr="00DF628E">
      <w:rPr>
        <w:rFonts w:ascii="Ottawa" w:hAnsi="Ottawa"/>
        <w:i/>
      </w:rPr>
      <w:t>and Venezuelan</w:t>
    </w:r>
    <w:r w:rsidRPr="00470354">
      <w:rPr>
        <w:rFonts w:ascii="Ottawa" w:hAnsi="Ottawa"/>
        <w:i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A3653"/>
    <w:multiLevelType w:val="hybridMultilevel"/>
    <w:tmpl w:val="C0088476"/>
    <w:lvl w:ilvl="0" w:tplc="040C0001">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1" w15:restartNumberingAfterBreak="0">
    <w:nsid w:val="4F106B2F"/>
    <w:multiLevelType w:val="hybridMultilevel"/>
    <w:tmpl w:val="BF7A63AA"/>
    <w:lvl w:ilvl="0" w:tplc="78667E10">
      <w:start w:val="2"/>
      <w:numFmt w:val="lowerRoman"/>
      <w:lvlText w:val="%1)"/>
      <w:lvlJc w:val="left"/>
      <w:pPr>
        <w:ind w:left="2070" w:hanging="720"/>
      </w:pPr>
      <w:rPr>
        <w:rFonts w:hint="default"/>
        <w:i/>
      </w:rPr>
    </w:lvl>
    <w:lvl w:ilvl="1" w:tplc="18090019" w:tentative="1">
      <w:start w:val="1"/>
      <w:numFmt w:val="lowerLetter"/>
      <w:lvlText w:val="%2."/>
      <w:lvlJc w:val="left"/>
      <w:pPr>
        <w:ind w:left="2430" w:hanging="360"/>
      </w:pPr>
    </w:lvl>
    <w:lvl w:ilvl="2" w:tplc="1809001B" w:tentative="1">
      <w:start w:val="1"/>
      <w:numFmt w:val="lowerRoman"/>
      <w:lvlText w:val="%3."/>
      <w:lvlJc w:val="right"/>
      <w:pPr>
        <w:ind w:left="3150" w:hanging="180"/>
      </w:pPr>
    </w:lvl>
    <w:lvl w:ilvl="3" w:tplc="1809000F" w:tentative="1">
      <w:start w:val="1"/>
      <w:numFmt w:val="decimal"/>
      <w:lvlText w:val="%4."/>
      <w:lvlJc w:val="left"/>
      <w:pPr>
        <w:ind w:left="3870" w:hanging="360"/>
      </w:pPr>
    </w:lvl>
    <w:lvl w:ilvl="4" w:tplc="18090019" w:tentative="1">
      <w:start w:val="1"/>
      <w:numFmt w:val="lowerLetter"/>
      <w:lvlText w:val="%5."/>
      <w:lvlJc w:val="left"/>
      <w:pPr>
        <w:ind w:left="4590" w:hanging="360"/>
      </w:pPr>
    </w:lvl>
    <w:lvl w:ilvl="5" w:tplc="1809001B" w:tentative="1">
      <w:start w:val="1"/>
      <w:numFmt w:val="lowerRoman"/>
      <w:lvlText w:val="%6."/>
      <w:lvlJc w:val="right"/>
      <w:pPr>
        <w:ind w:left="5310" w:hanging="180"/>
      </w:pPr>
    </w:lvl>
    <w:lvl w:ilvl="6" w:tplc="1809000F" w:tentative="1">
      <w:start w:val="1"/>
      <w:numFmt w:val="decimal"/>
      <w:lvlText w:val="%7."/>
      <w:lvlJc w:val="left"/>
      <w:pPr>
        <w:ind w:left="6030" w:hanging="360"/>
      </w:pPr>
    </w:lvl>
    <w:lvl w:ilvl="7" w:tplc="18090019" w:tentative="1">
      <w:start w:val="1"/>
      <w:numFmt w:val="lowerLetter"/>
      <w:lvlText w:val="%8."/>
      <w:lvlJc w:val="left"/>
      <w:pPr>
        <w:ind w:left="6750" w:hanging="360"/>
      </w:pPr>
    </w:lvl>
    <w:lvl w:ilvl="8" w:tplc="1809001B" w:tentative="1">
      <w:start w:val="1"/>
      <w:numFmt w:val="lowerRoman"/>
      <w:lvlText w:val="%9."/>
      <w:lvlJc w:val="right"/>
      <w:pPr>
        <w:ind w:left="7470" w:hanging="180"/>
      </w:pPr>
    </w:lvl>
  </w:abstractNum>
  <w:abstractNum w:abstractNumId="2"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3"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2"/>
  </w:num>
  <w:num w:numId="2">
    <w:abstractNumId w:val="3"/>
  </w:num>
  <w:num w:numId="3">
    <w:abstractNumId w:val="3"/>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n-IE" w:vendorID="64" w:dllVersion="0" w:nlCheck="1" w:checkStyle="0"/>
  <w:activeWritingStyle w:appName="MSWord" w:lang="es-ES" w:vendorID="64" w:dllVersion="6" w:nlCheck="1" w:checkStyle="1"/>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GB" w:vendorID="8" w:dllVersion="513" w:checkStyle="1"/>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5BB5"/>
    <w:rsid w:val="00001332"/>
    <w:rsid w:val="00004619"/>
    <w:rsid w:val="00007A54"/>
    <w:rsid w:val="00013063"/>
    <w:rsid w:val="00013121"/>
    <w:rsid w:val="000224B2"/>
    <w:rsid w:val="00034886"/>
    <w:rsid w:val="00042B22"/>
    <w:rsid w:val="00044EEA"/>
    <w:rsid w:val="00050E20"/>
    <w:rsid w:val="00056296"/>
    <w:rsid w:val="00056BB2"/>
    <w:rsid w:val="000614DA"/>
    <w:rsid w:val="0006278D"/>
    <w:rsid w:val="000640B4"/>
    <w:rsid w:val="00066EA7"/>
    <w:rsid w:val="00082725"/>
    <w:rsid w:val="000839AB"/>
    <w:rsid w:val="00092FC6"/>
    <w:rsid w:val="00096BAB"/>
    <w:rsid w:val="000A2B05"/>
    <w:rsid w:val="000A42C1"/>
    <w:rsid w:val="000B154F"/>
    <w:rsid w:val="000B321F"/>
    <w:rsid w:val="000B496D"/>
    <w:rsid w:val="000B4A22"/>
    <w:rsid w:val="000C2939"/>
    <w:rsid w:val="000C3E60"/>
    <w:rsid w:val="000C4F5A"/>
    <w:rsid w:val="000C7675"/>
    <w:rsid w:val="000D0697"/>
    <w:rsid w:val="000D432B"/>
    <w:rsid w:val="000D4586"/>
    <w:rsid w:val="000D5B16"/>
    <w:rsid w:val="000D741B"/>
    <w:rsid w:val="000E5726"/>
    <w:rsid w:val="000F23FD"/>
    <w:rsid w:val="000F253B"/>
    <w:rsid w:val="00101B5F"/>
    <w:rsid w:val="00107F30"/>
    <w:rsid w:val="00121594"/>
    <w:rsid w:val="00122EBE"/>
    <w:rsid w:val="001246BA"/>
    <w:rsid w:val="00131DEB"/>
    <w:rsid w:val="00132E01"/>
    <w:rsid w:val="001343D1"/>
    <w:rsid w:val="00144CF3"/>
    <w:rsid w:val="0014656E"/>
    <w:rsid w:val="00150D55"/>
    <w:rsid w:val="001517EB"/>
    <w:rsid w:val="001542DE"/>
    <w:rsid w:val="00157D7C"/>
    <w:rsid w:val="00161572"/>
    <w:rsid w:val="00165AD0"/>
    <w:rsid w:val="00172AD1"/>
    <w:rsid w:val="00183471"/>
    <w:rsid w:val="0018586B"/>
    <w:rsid w:val="001870C3"/>
    <w:rsid w:val="0018799A"/>
    <w:rsid w:val="00195A9D"/>
    <w:rsid w:val="001A600A"/>
    <w:rsid w:val="001B21A8"/>
    <w:rsid w:val="001B4F41"/>
    <w:rsid w:val="001B5E30"/>
    <w:rsid w:val="001B68A1"/>
    <w:rsid w:val="001B7EC7"/>
    <w:rsid w:val="001C3C90"/>
    <w:rsid w:val="001D353E"/>
    <w:rsid w:val="001D4468"/>
    <w:rsid w:val="001D65FF"/>
    <w:rsid w:val="001E1BAE"/>
    <w:rsid w:val="001E2B90"/>
    <w:rsid w:val="001F0CEF"/>
    <w:rsid w:val="001F646D"/>
    <w:rsid w:val="001F695C"/>
    <w:rsid w:val="002151B7"/>
    <w:rsid w:val="00224705"/>
    <w:rsid w:val="00225BB5"/>
    <w:rsid w:val="00226A55"/>
    <w:rsid w:val="00230263"/>
    <w:rsid w:val="00230BE2"/>
    <w:rsid w:val="00231693"/>
    <w:rsid w:val="00232320"/>
    <w:rsid w:val="00236057"/>
    <w:rsid w:val="00240AFB"/>
    <w:rsid w:val="00242A97"/>
    <w:rsid w:val="00246C41"/>
    <w:rsid w:val="00251922"/>
    <w:rsid w:val="00251CCB"/>
    <w:rsid w:val="0026401A"/>
    <w:rsid w:val="00270A91"/>
    <w:rsid w:val="002721E5"/>
    <w:rsid w:val="00276323"/>
    <w:rsid w:val="0028298C"/>
    <w:rsid w:val="0028384E"/>
    <w:rsid w:val="00286FF7"/>
    <w:rsid w:val="00290F6D"/>
    <w:rsid w:val="00294D56"/>
    <w:rsid w:val="002958BE"/>
    <w:rsid w:val="00296C4D"/>
    <w:rsid w:val="002A07F2"/>
    <w:rsid w:val="002A253A"/>
    <w:rsid w:val="002A3D09"/>
    <w:rsid w:val="002B3423"/>
    <w:rsid w:val="002C195A"/>
    <w:rsid w:val="002C7B8D"/>
    <w:rsid w:val="002D08A5"/>
    <w:rsid w:val="002D26B4"/>
    <w:rsid w:val="002D5A69"/>
    <w:rsid w:val="002E039A"/>
    <w:rsid w:val="002E1921"/>
    <w:rsid w:val="002E74E9"/>
    <w:rsid w:val="002E7EDD"/>
    <w:rsid w:val="002F5983"/>
    <w:rsid w:val="003031CF"/>
    <w:rsid w:val="00304E8F"/>
    <w:rsid w:val="00306987"/>
    <w:rsid w:val="00306EF2"/>
    <w:rsid w:val="00307AD8"/>
    <w:rsid w:val="0031543E"/>
    <w:rsid w:val="00317DF2"/>
    <w:rsid w:val="00326B91"/>
    <w:rsid w:val="00346969"/>
    <w:rsid w:val="00346C01"/>
    <w:rsid w:val="0034747B"/>
    <w:rsid w:val="00350D39"/>
    <w:rsid w:val="003545A8"/>
    <w:rsid w:val="003578F8"/>
    <w:rsid w:val="00361C79"/>
    <w:rsid w:val="00364F9D"/>
    <w:rsid w:val="00366E93"/>
    <w:rsid w:val="00380F6B"/>
    <w:rsid w:val="003936F7"/>
    <w:rsid w:val="00395591"/>
    <w:rsid w:val="00396E1B"/>
    <w:rsid w:val="003A37E9"/>
    <w:rsid w:val="003A5F84"/>
    <w:rsid w:val="003B030C"/>
    <w:rsid w:val="003B17ED"/>
    <w:rsid w:val="003B3F2F"/>
    <w:rsid w:val="003C14BE"/>
    <w:rsid w:val="003C35BA"/>
    <w:rsid w:val="003D17EF"/>
    <w:rsid w:val="003D69DE"/>
    <w:rsid w:val="003D7391"/>
    <w:rsid w:val="003E034B"/>
    <w:rsid w:val="003E26F7"/>
    <w:rsid w:val="003E2F9A"/>
    <w:rsid w:val="003F170C"/>
    <w:rsid w:val="003F4872"/>
    <w:rsid w:val="003F4C93"/>
    <w:rsid w:val="003F762F"/>
    <w:rsid w:val="00400A3B"/>
    <w:rsid w:val="00403CC1"/>
    <w:rsid w:val="004079D2"/>
    <w:rsid w:val="00412440"/>
    <w:rsid w:val="00420547"/>
    <w:rsid w:val="0042108E"/>
    <w:rsid w:val="00425335"/>
    <w:rsid w:val="00430AF8"/>
    <w:rsid w:val="004320A8"/>
    <w:rsid w:val="00432C0B"/>
    <w:rsid w:val="00435944"/>
    <w:rsid w:val="0043677A"/>
    <w:rsid w:val="004618B5"/>
    <w:rsid w:val="00470354"/>
    <w:rsid w:val="004720EE"/>
    <w:rsid w:val="00475AED"/>
    <w:rsid w:val="004852D3"/>
    <w:rsid w:val="00492DA4"/>
    <w:rsid w:val="004932AA"/>
    <w:rsid w:val="004A2CB6"/>
    <w:rsid w:val="004A44CB"/>
    <w:rsid w:val="004A563E"/>
    <w:rsid w:val="004A56C7"/>
    <w:rsid w:val="004B311C"/>
    <w:rsid w:val="004B3656"/>
    <w:rsid w:val="004B6F67"/>
    <w:rsid w:val="004C0878"/>
    <w:rsid w:val="004C7E36"/>
    <w:rsid w:val="004D00A9"/>
    <w:rsid w:val="004E39F4"/>
    <w:rsid w:val="004E401A"/>
    <w:rsid w:val="004E61B2"/>
    <w:rsid w:val="004E702B"/>
    <w:rsid w:val="004E76A2"/>
    <w:rsid w:val="004F69FF"/>
    <w:rsid w:val="004F777E"/>
    <w:rsid w:val="00500A47"/>
    <w:rsid w:val="005133EE"/>
    <w:rsid w:val="00513671"/>
    <w:rsid w:val="00522594"/>
    <w:rsid w:val="0052309F"/>
    <w:rsid w:val="005236D6"/>
    <w:rsid w:val="00541689"/>
    <w:rsid w:val="00546286"/>
    <w:rsid w:val="00551301"/>
    <w:rsid w:val="00552128"/>
    <w:rsid w:val="00556226"/>
    <w:rsid w:val="00557D2E"/>
    <w:rsid w:val="005622FE"/>
    <w:rsid w:val="00572C30"/>
    <w:rsid w:val="00573C05"/>
    <w:rsid w:val="00583F9B"/>
    <w:rsid w:val="00592ACC"/>
    <w:rsid w:val="005976A1"/>
    <w:rsid w:val="005A217A"/>
    <w:rsid w:val="005A57FD"/>
    <w:rsid w:val="005A6188"/>
    <w:rsid w:val="005B0536"/>
    <w:rsid w:val="005B1042"/>
    <w:rsid w:val="005B1691"/>
    <w:rsid w:val="005B6253"/>
    <w:rsid w:val="005B76EB"/>
    <w:rsid w:val="005C45AC"/>
    <w:rsid w:val="005C55FD"/>
    <w:rsid w:val="005D05EF"/>
    <w:rsid w:val="005D59BD"/>
    <w:rsid w:val="005D6DC6"/>
    <w:rsid w:val="005D7229"/>
    <w:rsid w:val="005E7B8C"/>
    <w:rsid w:val="005F0A04"/>
    <w:rsid w:val="006061FC"/>
    <w:rsid w:val="0061035A"/>
    <w:rsid w:val="00612528"/>
    <w:rsid w:val="00615ABD"/>
    <w:rsid w:val="00620E9F"/>
    <w:rsid w:val="00627D1D"/>
    <w:rsid w:val="00630173"/>
    <w:rsid w:val="006367F5"/>
    <w:rsid w:val="00642ED1"/>
    <w:rsid w:val="00647F9E"/>
    <w:rsid w:val="00653CFC"/>
    <w:rsid w:val="006646DA"/>
    <w:rsid w:val="00673A9A"/>
    <w:rsid w:val="00675184"/>
    <w:rsid w:val="0067597E"/>
    <w:rsid w:val="00685CD4"/>
    <w:rsid w:val="00686560"/>
    <w:rsid w:val="00687985"/>
    <w:rsid w:val="0069184B"/>
    <w:rsid w:val="00693F9A"/>
    <w:rsid w:val="00694623"/>
    <w:rsid w:val="006A06F4"/>
    <w:rsid w:val="006A4308"/>
    <w:rsid w:val="006A44E9"/>
    <w:rsid w:val="006A757E"/>
    <w:rsid w:val="006B0777"/>
    <w:rsid w:val="006B62B3"/>
    <w:rsid w:val="006C0EFC"/>
    <w:rsid w:val="006C7589"/>
    <w:rsid w:val="006D4793"/>
    <w:rsid w:val="006E2C6A"/>
    <w:rsid w:val="006F57FE"/>
    <w:rsid w:val="00704796"/>
    <w:rsid w:val="00710A5A"/>
    <w:rsid w:val="0071480F"/>
    <w:rsid w:val="00714819"/>
    <w:rsid w:val="0071595B"/>
    <w:rsid w:val="00720D6F"/>
    <w:rsid w:val="00724328"/>
    <w:rsid w:val="00724D7B"/>
    <w:rsid w:val="007533A5"/>
    <w:rsid w:val="0075425E"/>
    <w:rsid w:val="007610B7"/>
    <w:rsid w:val="007615A2"/>
    <w:rsid w:val="00762FC5"/>
    <w:rsid w:val="007677B8"/>
    <w:rsid w:val="00774D97"/>
    <w:rsid w:val="00775506"/>
    <w:rsid w:val="00775AAF"/>
    <w:rsid w:val="00780963"/>
    <w:rsid w:val="0078444A"/>
    <w:rsid w:val="00785FD6"/>
    <w:rsid w:val="00790B2B"/>
    <w:rsid w:val="007932E8"/>
    <w:rsid w:val="0079553C"/>
    <w:rsid w:val="007A0A1A"/>
    <w:rsid w:val="007B0BD3"/>
    <w:rsid w:val="007B2892"/>
    <w:rsid w:val="007B31C4"/>
    <w:rsid w:val="007B3C30"/>
    <w:rsid w:val="007C5DD2"/>
    <w:rsid w:val="007D5492"/>
    <w:rsid w:val="007D5C28"/>
    <w:rsid w:val="007E33FA"/>
    <w:rsid w:val="007F14E4"/>
    <w:rsid w:val="007F470E"/>
    <w:rsid w:val="00801175"/>
    <w:rsid w:val="00802156"/>
    <w:rsid w:val="0080641B"/>
    <w:rsid w:val="00807940"/>
    <w:rsid w:val="00821EBF"/>
    <w:rsid w:val="008228B9"/>
    <w:rsid w:val="008238A6"/>
    <w:rsid w:val="00823A51"/>
    <w:rsid w:val="0083011E"/>
    <w:rsid w:val="00831971"/>
    <w:rsid w:val="00835913"/>
    <w:rsid w:val="00842BCB"/>
    <w:rsid w:val="00843EA9"/>
    <w:rsid w:val="008447D7"/>
    <w:rsid w:val="00860426"/>
    <w:rsid w:val="008767E7"/>
    <w:rsid w:val="00877B84"/>
    <w:rsid w:val="00882CF5"/>
    <w:rsid w:val="00883BBE"/>
    <w:rsid w:val="00893AAB"/>
    <w:rsid w:val="00894F1C"/>
    <w:rsid w:val="00897E00"/>
    <w:rsid w:val="008A1463"/>
    <w:rsid w:val="008A1A3B"/>
    <w:rsid w:val="008A2075"/>
    <w:rsid w:val="008A3DAC"/>
    <w:rsid w:val="008A54B4"/>
    <w:rsid w:val="008B353F"/>
    <w:rsid w:val="008C2EB6"/>
    <w:rsid w:val="008D19F6"/>
    <w:rsid w:val="008D31A6"/>
    <w:rsid w:val="008E3793"/>
    <w:rsid w:val="008F3AFD"/>
    <w:rsid w:val="008F7440"/>
    <w:rsid w:val="008F7D26"/>
    <w:rsid w:val="0090157B"/>
    <w:rsid w:val="00901C23"/>
    <w:rsid w:val="00903765"/>
    <w:rsid w:val="00907653"/>
    <w:rsid w:val="00913B57"/>
    <w:rsid w:val="00917197"/>
    <w:rsid w:val="009226CA"/>
    <w:rsid w:val="00935808"/>
    <w:rsid w:val="0094345F"/>
    <w:rsid w:val="00944A48"/>
    <w:rsid w:val="009476B3"/>
    <w:rsid w:val="00955BE6"/>
    <w:rsid w:val="00960EDC"/>
    <w:rsid w:val="00961ADE"/>
    <w:rsid w:val="00961F68"/>
    <w:rsid w:val="00964002"/>
    <w:rsid w:val="009650E0"/>
    <w:rsid w:val="00982A42"/>
    <w:rsid w:val="00994A09"/>
    <w:rsid w:val="00994F76"/>
    <w:rsid w:val="009A5170"/>
    <w:rsid w:val="009C5C74"/>
    <w:rsid w:val="009D16AC"/>
    <w:rsid w:val="009D2B6C"/>
    <w:rsid w:val="009E271C"/>
    <w:rsid w:val="009E71D2"/>
    <w:rsid w:val="009F6EBE"/>
    <w:rsid w:val="009F7A77"/>
    <w:rsid w:val="00A03FD2"/>
    <w:rsid w:val="00A06230"/>
    <w:rsid w:val="00A13E2B"/>
    <w:rsid w:val="00A23BE7"/>
    <w:rsid w:val="00A244EF"/>
    <w:rsid w:val="00A3160F"/>
    <w:rsid w:val="00A32BD2"/>
    <w:rsid w:val="00A3569F"/>
    <w:rsid w:val="00A36EE1"/>
    <w:rsid w:val="00A45176"/>
    <w:rsid w:val="00A51CDF"/>
    <w:rsid w:val="00A533AA"/>
    <w:rsid w:val="00A63873"/>
    <w:rsid w:val="00A6657C"/>
    <w:rsid w:val="00A7372E"/>
    <w:rsid w:val="00A8757B"/>
    <w:rsid w:val="00A94CA6"/>
    <w:rsid w:val="00A94CC1"/>
    <w:rsid w:val="00AA7819"/>
    <w:rsid w:val="00AC2C4B"/>
    <w:rsid w:val="00AC66E4"/>
    <w:rsid w:val="00AD7092"/>
    <w:rsid w:val="00AE3FD5"/>
    <w:rsid w:val="00AE651F"/>
    <w:rsid w:val="00AE7C27"/>
    <w:rsid w:val="00AF0609"/>
    <w:rsid w:val="00AF0682"/>
    <w:rsid w:val="00AF24AD"/>
    <w:rsid w:val="00AF37B8"/>
    <w:rsid w:val="00B04614"/>
    <w:rsid w:val="00B05F3F"/>
    <w:rsid w:val="00B10439"/>
    <w:rsid w:val="00B1320E"/>
    <w:rsid w:val="00B15A97"/>
    <w:rsid w:val="00B16050"/>
    <w:rsid w:val="00B32883"/>
    <w:rsid w:val="00B36B0F"/>
    <w:rsid w:val="00B375B9"/>
    <w:rsid w:val="00B40962"/>
    <w:rsid w:val="00B413EF"/>
    <w:rsid w:val="00B47618"/>
    <w:rsid w:val="00B5242A"/>
    <w:rsid w:val="00B55032"/>
    <w:rsid w:val="00B608BF"/>
    <w:rsid w:val="00B609A8"/>
    <w:rsid w:val="00B634B9"/>
    <w:rsid w:val="00B70DF0"/>
    <w:rsid w:val="00B72398"/>
    <w:rsid w:val="00B76353"/>
    <w:rsid w:val="00B76430"/>
    <w:rsid w:val="00B80330"/>
    <w:rsid w:val="00B8241A"/>
    <w:rsid w:val="00B916DD"/>
    <w:rsid w:val="00B94B25"/>
    <w:rsid w:val="00B95010"/>
    <w:rsid w:val="00BA3338"/>
    <w:rsid w:val="00BB426B"/>
    <w:rsid w:val="00BD595E"/>
    <w:rsid w:val="00BE0F1D"/>
    <w:rsid w:val="00BF1692"/>
    <w:rsid w:val="00BF1D2A"/>
    <w:rsid w:val="00C007B2"/>
    <w:rsid w:val="00C02492"/>
    <w:rsid w:val="00C027D8"/>
    <w:rsid w:val="00C16613"/>
    <w:rsid w:val="00C17C71"/>
    <w:rsid w:val="00C2122C"/>
    <w:rsid w:val="00C25CF5"/>
    <w:rsid w:val="00C3209E"/>
    <w:rsid w:val="00C32822"/>
    <w:rsid w:val="00C421B8"/>
    <w:rsid w:val="00C44110"/>
    <w:rsid w:val="00C45027"/>
    <w:rsid w:val="00C72E5C"/>
    <w:rsid w:val="00C73B3D"/>
    <w:rsid w:val="00C74233"/>
    <w:rsid w:val="00C834CC"/>
    <w:rsid w:val="00C835E8"/>
    <w:rsid w:val="00C87D30"/>
    <w:rsid w:val="00CA4990"/>
    <w:rsid w:val="00CA4F5C"/>
    <w:rsid w:val="00CC043D"/>
    <w:rsid w:val="00CC27BC"/>
    <w:rsid w:val="00CD1F13"/>
    <w:rsid w:val="00CD5806"/>
    <w:rsid w:val="00CD591D"/>
    <w:rsid w:val="00CD5C91"/>
    <w:rsid w:val="00CD6305"/>
    <w:rsid w:val="00CD7790"/>
    <w:rsid w:val="00CE4F13"/>
    <w:rsid w:val="00CF07A1"/>
    <w:rsid w:val="00CF531B"/>
    <w:rsid w:val="00CF577E"/>
    <w:rsid w:val="00D03955"/>
    <w:rsid w:val="00D072F7"/>
    <w:rsid w:val="00D176A5"/>
    <w:rsid w:val="00D25831"/>
    <w:rsid w:val="00D258CD"/>
    <w:rsid w:val="00D3294C"/>
    <w:rsid w:val="00D34878"/>
    <w:rsid w:val="00D34BD9"/>
    <w:rsid w:val="00D44723"/>
    <w:rsid w:val="00D44798"/>
    <w:rsid w:val="00D46655"/>
    <w:rsid w:val="00D51AD9"/>
    <w:rsid w:val="00D54612"/>
    <w:rsid w:val="00D55C99"/>
    <w:rsid w:val="00D67164"/>
    <w:rsid w:val="00D675DD"/>
    <w:rsid w:val="00D7388A"/>
    <w:rsid w:val="00D80DE3"/>
    <w:rsid w:val="00D82498"/>
    <w:rsid w:val="00D87B9D"/>
    <w:rsid w:val="00D9585C"/>
    <w:rsid w:val="00D97DD7"/>
    <w:rsid w:val="00DA0389"/>
    <w:rsid w:val="00DA61B3"/>
    <w:rsid w:val="00DB210D"/>
    <w:rsid w:val="00DB550A"/>
    <w:rsid w:val="00DC0935"/>
    <w:rsid w:val="00DC097F"/>
    <w:rsid w:val="00DC2B16"/>
    <w:rsid w:val="00DC40D1"/>
    <w:rsid w:val="00DC5930"/>
    <w:rsid w:val="00DC6FEF"/>
    <w:rsid w:val="00DD408B"/>
    <w:rsid w:val="00DD52A4"/>
    <w:rsid w:val="00DE0421"/>
    <w:rsid w:val="00DE69D1"/>
    <w:rsid w:val="00DF3703"/>
    <w:rsid w:val="00DF628E"/>
    <w:rsid w:val="00DF6B04"/>
    <w:rsid w:val="00DF7256"/>
    <w:rsid w:val="00E0392E"/>
    <w:rsid w:val="00E121A7"/>
    <w:rsid w:val="00E13C96"/>
    <w:rsid w:val="00E13F82"/>
    <w:rsid w:val="00E1452C"/>
    <w:rsid w:val="00E17D28"/>
    <w:rsid w:val="00E23CBC"/>
    <w:rsid w:val="00E2550A"/>
    <w:rsid w:val="00E26D71"/>
    <w:rsid w:val="00E300BE"/>
    <w:rsid w:val="00E45155"/>
    <w:rsid w:val="00E451A2"/>
    <w:rsid w:val="00E54558"/>
    <w:rsid w:val="00E5504B"/>
    <w:rsid w:val="00E551C1"/>
    <w:rsid w:val="00E55B9E"/>
    <w:rsid w:val="00E72248"/>
    <w:rsid w:val="00E768D0"/>
    <w:rsid w:val="00E84954"/>
    <w:rsid w:val="00E872B0"/>
    <w:rsid w:val="00E929CD"/>
    <w:rsid w:val="00E93458"/>
    <w:rsid w:val="00E95328"/>
    <w:rsid w:val="00EA1AD9"/>
    <w:rsid w:val="00EA1D37"/>
    <w:rsid w:val="00EA6CBB"/>
    <w:rsid w:val="00EB74C2"/>
    <w:rsid w:val="00EC08F6"/>
    <w:rsid w:val="00EC2965"/>
    <w:rsid w:val="00EC2E89"/>
    <w:rsid w:val="00ED0BFC"/>
    <w:rsid w:val="00ED37E3"/>
    <w:rsid w:val="00EF0FD2"/>
    <w:rsid w:val="00EF1D5C"/>
    <w:rsid w:val="00EF2370"/>
    <w:rsid w:val="00F06E81"/>
    <w:rsid w:val="00F122E3"/>
    <w:rsid w:val="00F12378"/>
    <w:rsid w:val="00F12BA9"/>
    <w:rsid w:val="00F21D87"/>
    <w:rsid w:val="00F22AF3"/>
    <w:rsid w:val="00F2406A"/>
    <w:rsid w:val="00F276FE"/>
    <w:rsid w:val="00F31FC8"/>
    <w:rsid w:val="00F333C3"/>
    <w:rsid w:val="00F35AAD"/>
    <w:rsid w:val="00F3731D"/>
    <w:rsid w:val="00F42676"/>
    <w:rsid w:val="00F46325"/>
    <w:rsid w:val="00F6140D"/>
    <w:rsid w:val="00F62AF5"/>
    <w:rsid w:val="00F62F35"/>
    <w:rsid w:val="00F64E23"/>
    <w:rsid w:val="00F665C6"/>
    <w:rsid w:val="00F7223C"/>
    <w:rsid w:val="00F822BA"/>
    <w:rsid w:val="00F83712"/>
    <w:rsid w:val="00F8630E"/>
    <w:rsid w:val="00F93B2B"/>
    <w:rsid w:val="00F95808"/>
    <w:rsid w:val="00F974A7"/>
    <w:rsid w:val="00FA1C86"/>
    <w:rsid w:val="00FA3AE4"/>
    <w:rsid w:val="00FA3DD9"/>
    <w:rsid w:val="00FB3635"/>
    <w:rsid w:val="00FB3CA3"/>
    <w:rsid w:val="00FB5948"/>
    <w:rsid w:val="00FB6EE8"/>
    <w:rsid w:val="00FF2F1F"/>
    <w:rsid w:val="00FF40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13CCD24"/>
  <w15:docId w15:val="{87F313FF-B558-447F-A2B7-D7F077CE7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s>
      <w:spacing w:line="360" w:lineRule="atLeast"/>
      <w:jc w:val="both"/>
    </w:pPr>
    <w:rPr>
      <w:lang w:eastAsia="fr-FR"/>
    </w:rPr>
  </w:style>
  <w:style w:type="paragraph" w:styleId="Titre1">
    <w:name w:val="heading 1"/>
    <w:basedOn w:val="Normal"/>
    <w:next w:val="Normal"/>
    <w:link w:val="Titre1Car"/>
    <w:uiPriority w:val="99"/>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Normal"/>
    <w:qFormat/>
    <w:pPr>
      <w:ind w:left="360"/>
      <w:outlineLvl w:val="2"/>
    </w:pPr>
    <w:rPr>
      <w:b/>
      <w:bCs/>
      <w:sz w:val="24"/>
      <w:szCs w:val="24"/>
    </w:rPr>
  </w:style>
  <w:style w:type="paragraph" w:styleId="Titre4">
    <w:name w:val="heading 4"/>
    <w:basedOn w:val="Normal"/>
    <w:next w:val="Normal"/>
    <w:qFormat/>
    <w:pPr>
      <w:ind w:left="360"/>
      <w:outlineLvl w:val="3"/>
    </w:pPr>
    <w:rPr>
      <w:sz w:val="24"/>
      <w:szCs w:val="24"/>
      <w:u w:val="single"/>
    </w:rPr>
  </w:style>
  <w:style w:type="paragraph" w:styleId="Titre5">
    <w:name w:val="heading 5"/>
    <w:basedOn w:val="Normal"/>
    <w:next w:val="Normal"/>
    <w:qFormat/>
    <w:pPr>
      <w:ind w:left="720"/>
      <w:outlineLvl w:val="4"/>
    </w:pPr>
    <w:rPr>
      <w:b/>
      <w:bCs/>
    </w:rPr>
  </w:style>
  <w:style w:type="paragraph" w:styleId="Titre6">
    <w:name w:val="heading 6"/>
    <w:basedOn w:val="Normal"/>
    <w:next w:val="Normal"/>
    <w:qFormat/>
    <w:pPr>
      <w:ind w:left="720"/>
      <w:outlineLvl w:val="5"/>
    </w:pPr>
    <w:rPr>
      <w:u w:val="single"/>
    </w:rPr>
  </w:style>
  <w:style w:type="paragraph" w:styleId="Titre7">
    <w:name w:val="heading 7"/>
    <w:basedOn w:val="Normal"/>
    <w:next w:val="Normal"/>
    <w:qFormat/>
    <w:pPr>
      <w:ind w:left="720"/>
      <w:outlineLvl w:val="6"/>
    </w:pPr>
    <w:rPr>
      <w:i/>
      <w:iCs/>
    </w:rPr>
  </w:style>
  <w:style w:type="paragraph" w:styleId="Titre8">
    <w:name w:val="heading 8"/>
    <w:basedOn w:val="Normal"/>
    <w:next w:val="Normal"/>
    <w:qFormat/>
    <w:pPr>
      <w:ind w:left="720"/>
      <w:outlineLvl w:val="7"/>
    </w:pPr>
    <w:rPr>
      <w:i/>
      <w:iCs/>
    </w:rPr>
  </w:style>
  <w:style w:type="paragraph" w:styleId="Titre9">
    <w:name w:val="heading 9"/>
    <w:basedOn w:val="Normal"/>
    <w:next w:val="Normal"/>
    <w:qFormat/>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B413EF"/>
    <w:rPr>
      <w:rFonts w:ascii="Arial" w:hAnsi="Arial"/>
      <w:sz w:val="16"/>
    </w:rPr>
  </w:style>
  <w:style w:type="paragraph" w:styleId="En-tte">
    <w:name w:val="header"/>
    <w:basedOn w:val="Normal"/>
    <w:link w:val="En-tteCar"/>
    <w:uiPriority w:val="99"/>
    <w:pPr>
      <w:tabs>
        <w:tab w:val="clear" w:pos="-720"/>
        <w:tab w:val="center" w:pos="4536"/>
        <w:tab w:val="right" w:pos="9072"/>
      </w:tabs>
    </w:pPr>
  </w:style>
  <w:style w:type="paragraph" w:customStyle="1" w:styleId="notedebas">
    <w:name w:val="note de bas"/>
    <w:basedOn w:val="Normal"/>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pPr>
      <w:tabs>
        <w:tab w:val="clear" w:pos="-720"/>
      </w:tabs>
      <w:spacing w:after="120" w:line="240" w:lineRule="auto"/>
      <w:ind w:left="425" w:hanging="425"/>
    </w:pPr>
    <w:rPr>
      <w:rFonts w:ascii="Ottawa" w:hAnsi="Ottawa"/>
      <w:b/>
      <w:bCs/>
    </w:rPr>
  </w:style>
  <w:style w:type="paragraph" w:customStyle="1" w:styleId="paraa">
    <w:name w:val="paraa)"/>
    <w:basedOn w:val="Normal"/>
    <w:pPr>
      <w:spacing w:after="240" w:line="240" w:lineRule="auto"/>
      <w:ind w:left="425"/>
    </w:pPr>
    <w:rPr>
      <w:rFonts w:ascii="Arial" w:hAnsi="Arial" w:cs="Arial"/>
      <w:sz w:val="18"/>
      <w:szCs w:val="18"/>
    </w:rPr>
  </w:style>
  <w:style w:type="paragraph" w:customStyle="1" w:styleId="1">
    <w:name w:val="1"/>
    <w:basedOn w:val="para1"/>
    <w:qFormat/>
    <w:rsid w:val="007932E8"/>
    <w:pPr>
      <w:tabs>
        <w:tab w:val="clear" w:pos="-720"/>
      </w:tabs>
      <w:ind w:left="426" w:hanging="426"/>
    </w:pPr>
    <w:rPr>
      <w:rFonts w:ascii="Ottawa" w:hAnsi="Ottawa"/>
      <w:b/>
      <w:bCs/>
      <w:sz w:val="22"/>
      <w:szCs w:val="22"/>
    </w:rPr>
  </w:style>
  <w:style w:type="paragraph" w:customStyle="1" w:styleId="para1">
    <w:name w:val="para1"/>
    <w:basedOn w:val="Normal"/>
    <w:pPr>
      <w:spacing w:after="240" w:line="240" w:lineRule="auto"/>
    </w:pPr>
    <w:rPr>
      <w:rFonts w:ascii="Arial" w:hAnsi="Arial" w:cs="Arial"/>
      <w:sz w:val="18"/>
      <w:szCs w:val="18"/>
    </w:rPr>
  </w:style>
  <w:style w:type="paragraph" w:customStyle="1" w:styleId="i">
    <w:name w:val="i)"/>
    <w:basedOn w:val="Normal"/>
    <w:qFormat/>
    <w:rsid w:val="007932E8"/>
    <w:pPr>
      <w:spacing w:after="120" w:line="240" w:lineRule="auto"/>
      <w:ind w:left="1843" w:hanging="425"/>
    </w:pPr>
    <w:rPr>
      <w:rFonts w:ascii="Arial" w:hAnsi="Arial" w:cs="Arial"/>
      <w:sz w:val="18"/>
      <w:szCs w:val="18"/>
    </w:rPr>
  </w:style>
  <w:style w:type="paragraph" w:customStyle="1" w:styleId="A0">
    <w:name w:val="A"/>
    <w:basedOn w:val="Normal"/>
    <w:rsid w:val="00230BE2"/>
    <w:pPr>
      <w:spacing w:after="240" w:line="240" w:lineRule="auto"/>
      <w:jc w:val="center"/>
    </w:pPr>
    <w:rPr>
      <w:rFonts w:ascii="Ottawa" w:hAnsi="Ottawa"/>
      <w:b/>
      <w:bCs/>
      <w:caps/>
      <w:sz w:val="24"/>
      <w:szCs w:val="24"/>
    </w:rPr>
  </w:style>
  <w:style w:type="paragraph" w:customStyle="1" w:styleId="Ref">
    <w:name w:val="Ref."/>
    <w:basedOn w:val="Normal"/>
    <w:rsid w:val="000D4586"/>
    <w:pPr>
      <w:spacing w:after="240" w:line="240" w:lineRule="auto"/>
    </w:pPr>
    <w:rPr>
      <w:rFonts w:ascii="Arial" w:hAnsi="Arial" w:cs="Arial"/>
      <w:sz w:val="18"/>
      <w:szCs w:val="18"/>
    </w:rPr>
  </w:style>
  <w:style w:type="paragraph" w:customStyle="1" w:styleId="sumtexte">
    <w:name w:val="sumtexte"/>
    <w:basedOn w:val="Normal"/>
    <w:link w:val="sumtexteCar"/>
    <w:uiPriority w:val="99"/>
    <w:pPr>
      <w:spacing w:after="120" w:line="240" w:lineRule="exact"/>
      <w:ind w:left="567" w:right="567"/>
    </w:pPr>
    <w:rPr>
      <w:rFonts w:ascii="Arial" w:hAnsi="Arial" w:cs="Arial"/>
      <w:i/>
      <w:iCs/>
      <w:sz w:val="18"/>
      <w:szCs w:val="18"/>
    </w:rPr>
  </w:style>
  <w:style w:type="paragraph" w:customStyle="1" w:styleId="paraA0">
    <w:name w:val="paraA"/>
    <w:basedOn w:val="Normal"/>
    <w:pPr>
      <w:spacing w:after="240" w:line="240" w:lineRule="auto"/>
    </w:pPr>
    <w:rPr>
      <w:rFonts w:ascii="Arial" w:hAnsi="Arial" w:cs="Arial"/>
      <w:sz w:val="18"/>
      <w:szCs w:val="18"/>
    </w:rPr>
  </w:style>
  <w:style w:type="paragraph" w:customStyle="1" w:styleId="TITRE">
    <w:name w:val="TITRE"/>
    <w:basedOn w:val="Normal"/>
    <w:pPr>
      <w:spacing w:after="240"/>
      <w:jc w:val="center"/>
    </w:pPr>
    <w:rPr>
      <w:b/>
      <w:bCs/>
      <w:caps/>
    </w:rPr>
  </w:style>
  <w:style w:type="paragraph" w:styleId="Pieddepage">
    <w:name w:val="footer"/>
    <w:basedOn w:val="Normal"/>
    <w:pPr>
      <w:tabs>
        <w:tab w:val="clear" w:pos="-720"/>
        <w:tab w:val="center" w:pos="4536"/>
        <w:tab w:val="right" w:pos="9072"/>
      </w:tabs>
    </w:pPr>
  </w:style>
  <w:style w:type="paragraph" w:styleId="Notedebasdepage">
    <w:name w:val="footnote text"/>
    <w:basedOn w:val="Normal"/>
    <w:link w:val="NotedebasdepageCar"/>
  </w:style>
  <w:style w:type="character" w:styleId="Appelnotedebasdep">
    <w:name w:val="footnote reference"/>
    <w:basedOn w:val="Policepardfaut"/>
    <w:rPr>
      <w:vertAlign w:val="superscript"/>
    </w:rPr>
  </w:style>
  <w:style w:type="paragraph" w:customStyle="1" w:styleId="sumtextelastpara">
    <w:name w:val="sumtexte last para"/>
    <w:basedOn w:val="sumtexte"/>
    <w:rsid w:val="00242A97"/>
    <w:pPr>
      <w:spacing w:after="480"/>
    </w:pPr>
  </w:style>
  <w:style w:type="paragraph" w:customStyle="1" w:styleId="b">
    <w:name w:val="b)"/>
    <w:basedOn w:val="Normal"/>
    <w:rsid w:val="00242A97"/>
    <w:pPr>
      <w:spacing w:after="120" w:line="240" w:lineRule="auto"/>
      <w:ind w:left="850" w:hanging="425"/>
    </w:pPr>
    <w:rPr>
      <w:rFonts w:ascii="Ottawa" w:hAnsi="Ottawa"/>
      <w:b/>
      <w:sz w:val="18"/>
    </w:rPr>
  </w:style>
  <w:style w:type="paragraph" w:customStyle="1" w:styleId="ipara">
    <w:name w:val="i_para"/>
    <w:basedOn w:val="i"/>
    <w:rsid w:val="00242A97"/>
    <w:pPr>
      <w:spacing w:line="200" w:lineRule="exact"/>
      <w:ind w:left="851" w:firstLine="0"/>
    </w:pPr>
  </w:style>
  <w:style w:type="paragraph" w:customStyle="1" w:styleId="iparalast">
    <w:name w:val="i_para_last"/>
    <w:basedOn w:val="i"/>
    <w:rsid w:val="007932E8"/>
    <w:pPr>
      <w:spacing w:after="240" w:line="200" w:lineRule="exact"/>
    </w:pPr>
  </w:style>
  <w:style w:type="paragraph" w:customStyle="1" w:styleId="Referencetitle">
    <w:name w:val="Reference_title"/>
    <w:basedOn w:val="Normal"/>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B15A97"/>
    <w:pPr>
      <w:spacing w:after="240" w:line="240" w:lineRule="auto"/>
      <w:jc w:val="center"/>
    </w:pPr>
    <w:rPr>
      <w:rFonts w:ascii="Ottawa" w:hAnsi="Ottawa"/>
      <w:caps/>
      <w:spacing w:val="60"/>
      <w:sz w:val="24"/>
    </w:rPr>
  </w:style>
  <w:style w:type="paragraph" w:customStyle="1" w:styleId="Chaptertitle">
    <w:name w:val="Chapter_title"/>
    <w:basedOn w:val="Normal"/>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B15A97"/>
    <w:pPr>
      <w:spacing w:before="1200"/>
    </w:pPr>
  </w:style>
  <w:style w:type="paragraph" w:customStyle="1" w:styleId="rtoiles">
    <w:name w:val="r_étoiles"/>
    <w:basedOn w:val="Normal"/>
    <w:next w:val="Normal"/>
    <w:rsid w:val="008B353F"/>
    <w:pPr>
      <w:keepLines/>
      <w:tabs>
        <w:tab w:val="clear" w:pos="-720"/>
      </w:tabs>
      <w:spacing w:before="240" w:after="240" w:line="240" w:lineRule="atLeast"/>
      <w:jc w:val="center"/>
    </w:pPr>
    <w:rPr>
      <w:lang w:val="fr-FR"/>
    </w:rPr>
  </w:style>
  <w:style w:type="paragraph" w:styleId="Textedebulles">
    <w:name w:val="Balloon Text"/>
    <w:basedOn w:val="Normal"/>
    <w:semiHidden/>
    <w:rsid w:val="006C7589"/>
    <w:rPr>
      <w:rFonts w:ascii="Tahoma" w:hAnsi="Tahoma" w:cs="Tahoma"/>
      <w:sz w:val="16"/>
      <w:szCs w:val="16"/>
    </w:rPr>
  </w:style>
  <w:style w:type="character" w:styleId="Lienhypertexte">
    <w:name w:val="Hyperlink"/>
    <w:basedOn w:val="Policepardfaut"/>
    <w:uiPriority w:val="99"/>
    <w:rsid w:val="000A2B05"/>
    <w:rPr>
      <w:color w:val="0000FF"/>
      <w:u w:val="single"/>
    </w:rPr>
  </w:style>
  <w:style w:type="character" w:styleId="Marquedecommentaire">
    <w:name w:val="annotation reference"/>
    <w:basedOn w:val="Policepardfaut"/>
    <w:semiHidden/>
    <w:rsid w:val="00B70DF0"/>
    <w:rPr>
      <w:sz w:val="16"/>
      <w:szCs w:val="16"/>
    </w:rPr>
  </w:style>
  <w:style w:type="paragraph" w:styleId="Commentaire">
    <w:name w:val="annotation text"/>
    <w:basedOn w:val="Normal"/>
    <w:semiHidden/>
    <w:rsid w:val="00B70DF0"/>
  </w:style>
  <w:style w:type="paragraph" w:styleId="Objetducommentaire">
    <w:name w:val="annotation subject"/>
    <w:basedOn w:val="Commentaire"/>
    <w:next w:val="Commentaire"/>
    <w:semiHidden/>
    <w:rsid w:val="00B70DF0"/>
    <w:rPr>
      <w:b/>
      <w:bCs/>
    </w:rPr>
  </w:style>
  <w:style w:type="character" w:customStyle="1" w:styleId="En-tteCar">
    <w:name w:val="En-tête Car"/>
    <w:basedOn w:val="Policepardfaut"/>
    <w:link w:val="En-tte"/>
    <w:uiPriority w:val="99"/>
    <w:rsid w:val="00144CF3"/>
    <w:rPr>
      <w:lang w:eastAsia="fr-FR"/>
    </w:rPr>
  </w:style>
  <w:style w:type="paragraph" w:customStyle="1" w:styleId="Reflabnote">
    <w:name w:val="Ref_lab_note"/>
    <w:basedOn w:val="Normal"/>
    <w:link w:val="ReflabnoteCar"/>
    <w:rsid w:val="00276323"/>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rsid w:val="00276323"/>
    <w:rPr>
      <w:rFonts w:ascii="Arial" w:hAnsi="Arial" w:cs="Arial"/>
      <w:sz w:val="18"/>
      <w:szCs w:val="18"/>
      <w:lang w:eastAsia="fr-FR"/>
    </w:rPr>
  </w:style>
  <w:style w:type="paragraph" w:styleId="Paragraphedeliste">
    <w:name w:val="List Paragraph"/>
    <w:basedOn w:val="Normal"/>
    <w:uiPriority w:val="34"/>
    <w:qFormat/>
    <w:rsid w:val="00400A3B"/>
    <w:pPr>
      <w:tabs>
        <w:tab w:val="clear" w:pos="-720"/>
      </w:tabs>
      <w:spacing w:line="240" w:lineRule="auto"/>
      <w:ind w:left="720"/>
      <w:contextualSpacing/>
      <w:jc w:val="left"/>
    </w:pPr>
    <w:rPr>
      <w:rFonts w:ascii="Cambria" w:eastAsia="Cambria" w:hAnsi="Cambria"/>
      <w:sz w:val="18"/>
      <w:szCs w:val="24"/>
      <w:lang w:val="en-US" w:eastAsia="en-US"/>
    </w:rPr>
  </w:style>
  <w:style w:type="paragraph" w:styleId="Corpsdetexte">
    <w:name w:val="Body Text"/>
    <w:basedOn w:val="Normal"/>
    <w:link w:val="CorpsdetexteCar"/>
    <w:rsid w:val="00573C05"/>
    <w:pPr>
      <w:widowControl w:val="0"/>
      <w:tabs>
        <w:tab w:val="clear" w:pos="-720"/>
      </w:tabs>
      <w:spacing w:line="240" w:lineRule="auto"/>
      <w:jc w:val="left"/>
    </w:pPr>
    <w:rPr>
      <w:sz w:val="24"/>
      <w:szCs w:val="24"/>
    </w:rPr>
  </w:style>
  <w:style w:type="character" w:customStyle="1" w:styleId="CorpsdetexteCar">
    <w:name w:val="Corps de texte Car"/>
    <w:basedOn w:val="Policepardfaut"/>
    <w:link w:val="Corpsdetexte"/>
    <w:rsid w:val="00573C05"/>
    <w:rPr>
      <w:sz w:val="24"/>
      <w:szCs w:val="24"/>
      <w:lang w:eastAsia="fr-FR"/>
    </w:rPr>
  </w:style>
  <w:style w:type="character" w:customStyle="1" w:styleId="jrnl">
    <w:name w:val="jrnl"/>
    <w:basedOn w:val="Policepardfaut"/>
    <w:rsid w:val="009226CA"/>
  </w:style>
  <w:style w:type="paragraph" w:customStyle="1" w:styleId="TableHead">
    <w:name w:val="Table Head"/>
    <w:basedOn w:val="Normal"/>
    <w:rsid w:val="003B3F2F"/>
    <w:pPr>
      <w:tabs>
        <w:tab w:val="clear" w:pos="-720"/>
      </w:tabs>
      <w:spacing w:before="120" w:after="120" w:line="240" w:lineRule="auto"/>
      <w:jc w:val="center"/>
    </w:pPr>
    <w:rPr>
      <w:rFonts w:ascii="Ottawa" w:hAnsi="Ottawa"/>
      <w:b/>
      <w:bCs/>
      <w:sz w:val="18"/>
      <w:szCs w:val="22"/>
      <w:lang w:val="en-IE" w:eastAsia="en-US"/>
    </w:rPr>
  </w:style>
  <w:style w:type="paragraph" w:customStyle="1" w:styleId="Tabletext">
    <w:name w:val="Table text"/>
    <w:basedOn w:val="Normal"/>
    <w:rsid w:val="003B3F2F"/>
    <w:pPr>
      <w:tabs>
        <w:tab w:val="clear" w:pos="-720"/>
      </w:tabs>
      <w:spacing w:before="120" w:after="120" w:line="240" w:lineRule="auto"/>
      <w:jc w:val="center"/>
    </w:pPr>
    <w:rPr>
      <w:rFonts w:ascii="Arial" w:hAnsi="Arial" w:cs="Arial"/>
      <w:bCs/>
      <w:sz w:val="18"/>
      <w:szCs w:val="22"/>
      <w:lang w:val="en-IE" w:eastAsia="en-US"/>
    </w:rPr>
  </w:style>
  <w:style w:type="paragraph" w:customStyle="1" w:styleId="Tabletitle">
    <w:name w:val="Table title"/>
    <w:basedOn w:val="Normal"/>
    <w:autoRedefine/>
    <w:rsid w:val="007932E8"/>
    <w:pPr>
      <w:tabs>
        <w:tab w:val="clear" w:pos="-720"/>
      </w:tabs>
      <w:spacing w:after="120" w:line="240" w:lineRule="auto"/>
      <w:jc w:val="center"/>
    </w:pPr>
    <w:rPr>
      <w:rFonts w:ascii="Ottawa" w:hAnsi="Ottawa" w:cs="Arial"/>
      <w:b/>
      <w:bCs/>
      <w:i/>
      <w:sz w:val="18"/>
      <w:szCs w:val="22"/>
      <w:lang w:eastAsia="en-US"/>
    </w:rPr>
  </w:style>
  <w:style w:type="paragraph" w:customStyle="1" w:styleId="A1">
    <w:name w:val="A1"/>
    <w:basedOn w:val="Titre1"/>
    <w:qFormat/>
    <w:rsid w:val="00D072F7"/>
    <w:pPr>
      <w:tabs>
        <w:tab w:val="clear" w:pos="-720"/>
      </w:tabs>
      <w:spacing w:before="0" w:after="240" w:line="240" w:lineRule="auto"/>
      <w:ind w:left="425" w:hanging="425"/>
      <w:jc w:val="left"/>
    </w:pPr>
    <w:rPr>
      <w:rFonts w:ascii="Ottawa" w:eastAsiaTheme="majorEastAsia" w:hAnsi="Ottawa"/>
      <w:sz w:val="22"/>
      <w:szCs w:val="28"/>
      <w:u w:val="none"/>
      <w:lang w:eastAsia="en-US"/>
    </w:rPr>
  </w:style>
  <w:style w:type="paragraph" w:customStyle="1" w:styleId="1Para">
    <w:name w:val="1_Para"/>
    <w:basedOn w:val="Normal"/>
    <w:qFormat/>
    <w:rsid w:val="00D072F7"/>
    <w:pPr>
      <w:tabs>
        <w:tab w:val="clear" w:pos="-720"/>
      </w:tabs>
      <w:spacing w:after="240" w:line="240" w:lineRule="auto"/>
    </w:pPr>
    <w:rPr>
      <w:rFonts w:ascii="Arial" w:eastAsiaTheme="minorHAnsi" w:hAnsi="Arial" w:cs="Arial"/>
      <w:sz w:val="18"/>
      <w:szCs w:val="18"/>
      <w:lang w:eastAsia="en-US"/>
    </w:rPr>
  </w:style>
  <w:style w:type="paragraph" w:customStyle="1" w:styleId="11">
    <w:name w:val="1.1"/>
    <w:basedOn w:val="Normal"/>
    <w:qFormat/>
    <w:rsid w:val="00D072F7"/>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D072F7"/>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D072F7"/>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D072F7"/>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D072F7"/>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D072F7"/>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D072F7"/>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D072F7"/>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D072F7"/>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D072F7"/>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D072F7"/>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D072F7"/>
    <w:pPr>
      <w:spacing w:after="120"/>
      <w:ind w:hanging="425"/>
    </w:pPr>
  </w:style>
  <w:style w:type="paragraph" w:customStyle="1" w:styleId="11ilist">
    <w:name w:val="1.1.i_list"/>
    <w:basedOn w:val="i"/>
    <w:qFormat/>
    <w:rsid w:val="00D072F7"/>
    <w:pPr>
      <w:tabs>
        <w:tab w:val="clear" w:pos="-720"/>
      </w:tabs>
      <w:ind w:left="1276"/>
    </w:pPr>
    <w:rPr>
      <w:rFonts w:eastAsiaTheme="minorHAnsi"/>
      <w:lang w:eastAsia="en-US"/>
    </w:rPr>
  </w:style>
  <w:style w:type="character" w:customStyle="1" w:styleId="NotedebasdepageCar">
    <w:name w:val="Note de bas de page Car"/>
    <w:basedOn w:val="Policepardfaut"/>
    <w:link w:val="Notedebasdepage"/>
    <w:rsid w:val="00D072F7"/>
    <w:rPr>
      <w:lang w:eastAsia="fr-FR"/>
    </w:rPr>
  </w:style>
  <w:style w:type="paragraph" w:styleId="Textebrut">
    <w:name w:val="Plain Text"/>
    <w:basedOn w:val="Normal"/>
    <w:link w:val="TextebrutCar"/>
    <w:uiPriority w:val="99"/>
    <w:unhideWhenUsed/>
    <w:rsid w:val="003F4C93"/>
    <w:pPr>
      <w:tabs>
        <w:tab w:val="clear" w:pos="-720"/>
      </w:tabs>
      <w:spacing w:line="240" w:lineRule="auto"/>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3F4C93"/>
    <w:rPr>
      <w:rFonts w:ascii="Calibri" w:eastAsiaTheme="minorHAnsi" w:hAnsi="Calibri" w:cstheme="minorBidi"/>
      <w:sz w:val="22"/>
      <w:szCs w:val="21"/>
      <w:lang w:eastAsia="en-US"/>
    </w:rPr>
  </w:style>
  <w:style w:type="paragraph" w:styleId="Rvision">
    <w:name w:val="Revision"/>
    <w:hidden/>
    <w:uiPriority w:val="99"/>
    <w:semiHidden/>
    <w:rsid w:val="00780963"/>
    <w:rPr>
      <w:lang w:eastAsia="fr-FR"/>
    </w:rPr>
  </w:style>
  <w:style w:type="paragraph" w:customStyle="1" w:styleId="DefaultText">
    <w:name w:val="Default Text"/>
    <w:basedOn w:val="Normal"/>
    <w:rsid w:val="00615ABD"/>
    <w:pPr>
      <w:tabs>
        <w:tab w:val="clear" w:pos="-720"/>
      </w:tabs>
      <w:overflowPunct w:val="0"/>
      <w:autoSpaceDE w:val="0"/>
      <w:autoSpaceDN w:val="0"/>
      <w:adjustRightInd w:val="0"/>
      <w:spacing w:line="240" w:lineRule="auto"/>
      <w:jc w:val="left"/>
      <w:textAlignment w:val="baseline"/>
    </w:pPr>
    <w:rPr>
      <w:sz w:val="24"/>
      <w:lang w:val="en-US" w:eastAsia="en-US"/>
    </w:rPr>
  </w:style>
  <w:style w:type="table" w:styleId="Grilledutableau">
    <w:name w:val="Table Grid"/>
    <w:basedOn w:val="TableauNormal"/>
    <w:uiPriority w:val="59"/>
    <w:rsid w:val="003B0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xmsonormal"/>
    <w:basedOn w:val="Normal"/>
    <w:rsid w:val="005B1042"/>
    <w:pPr>
      <w:tabs>
        <w:tab w:val="clear" w:pos="-720"/>
      </w:tabs>
      <w:spacing w:line="240" w:lineRule="auto"/>
      <w:jc w:val="left"/>
    </w:pPr>
    <w:rPr>
      <w:rFonts w:ascii="Calibri" w:eastAsiaTheme="minorHAnsi" w:hAnsi="Calibri" w:cs="Calibri"/>
      <w:sz w:val="22"/>
      <w:szCs w:val="22"/>
      <w:lang w:val="en-IE" w:eastAsia="en-IE"/>
    </w:rPr>
  </w:style>
  <w:style w:type="character" w:customStyle="1" w:styleId="highlight">
    <w:name w:val="highlight"/>
    <w:basedOn w:val="Policepardfaut"/>
    <w:rsid w:val="000D4586"/>
  </w:style>
  <w:style w:type="paragraph" w:customStyle="1" w:styleId="Titre10">
    <w:name w:val="Titre1"/>
    <w:basedOn w:val="Normal"/>
    <w:rsid w:val="001E1BAE"/>
    <w:pPr>
      <w:tabs>
        <w:tab w:val="clear" w:pos="-720"/>
      </w:tabs>
      <w:spacing w:before="100" w:beforeAutospacing="1" w:after="100" w:afterAutospacing="1" w:line="240" w:lineRule="auto"/>
      <w:jc w:val="left"/>
    </w:pPr>
    <w:rPr>
      <w:sz w:val="24"/>
      <w:szCs w:val="24"/>
      <w:lang w:val="fr-FR"/>
    </w:rPr>
  </w:style>
  <w:style w:type="paragraph" w:customStyle="1" w:styleId="desc">
    <w:name w:val="desc"/>
    <w:basedOn w:val="Normal"/>
    <w:rsid w:val="001E1BAE"/>
    <w:pPr>
      <w:tabs>
        <w:tab w:val="clear" w:pos="-720"/>
      </w:tabs>
      <w:spacing w:before="100" w:beforeAutospacing="1" w:after="100" w:afterAutospacing="1" w:line="240" w:lineRule="auto"/>
      <w:jc w:val="left"/>
    </w:pPr>
    <w:rPr>
      <w:sz w:val="24"/>
      <w:szCs w:val="24"/>
      <w:lang w:val="fr-FR"/>
    </w:rPr>
  </w:style>
  <w:style w:type="paragraph" w:customStyle="1" w:styleId="details">
    <w:name w:val="details"/>
    <w:basedOn w:val="Normal"/>
    <w:rsid w:val="001E1BAE"/>
    <w:pPr>
      <w:tabs>
        <w:tab w:val="clear" w:pos="-720"/>
      </w:tabs>
      <w:spacing w:before="100" w:beforeAutospacing="1" w:after="100" w:afterAutospacing="1" w:line="240" w:lineRule="auto"/>
      <w:jc w:val="left"/>
    </w:pPr>
    <w:rPr>
      <w:sz w:val="24"/>
      <w:szCs w:val="24"/>
      <w:lang w:val="fr-FR"/>
    </w:rPr>
  </w:style>
  <w:style w:type="character" w:customStyle="1" w:styleId="Titre1Car">
    <w:name w:val="Titre 1 Car"/>
    <w:basedOn w:val="Policepardfaut"/>
    <w:link w:val="Titre1"/>
    <w:uiPriority w:val="99"/>
    <w:locked/>
    <w:rsid w:val="00C17C71"/>
    <w:rPr>
      <w:rFonts w:ascii="Arial" w:hAnsi="Arial" w:cs="Arial"/>
      <w:b/>
      <w:bCs/>
      <w:sz w:val="24"/>
      <w:szCs w:val="24"/>
      <w:u w:val="single"/>
      <w:lang w:eastAsia="fr-FR"/>
    </w:rPr>
  </w:style>
  <w:style w:type="character" w:customStyle="1" w:styleId="sumtexteCar">
    <w:name w:val="sumtexte Car"/>
    <w:link w:val="sumtexte"/>
    <w:uiPriority w:val="99"/>
    <w:locked/>
    <w:rsid w:val="00C17C71"/>
    <w:rPr>
      <w:rFonts w:ascii="Arial" w:hAnsi="Arial" w:cs="Arial"/>
      <w:i/>
      <w:iCs/>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5694858">
      <w:bodyDiv w:val="1"/>
      <w:marLeft w:val="0"/>
      <w:marRight w:val="0"/>
      <w:marTop w:val="0"/>
      <w:marBottom w:val="0"/>
      <w:divBdr>
        <w:top w:val="none" w:sz="0" w:space="0" w:color="auto"/>
        <w:left w:val="none" w:sz="0" w:space="0" w:color="auto"/>
        <w:bottom w:val="none" w:sz="0" w:space="0" w:color="auto"/>
        <w:right w:val="none" w:sz="0" w:space="0" w:color="auto"/>
      </w:divBdr>
      <w:divsChild>
        <w:div w:id="958685937">
          <w:marLeft w:val="0"/>
          <w:marRight w:val="0"/>
          <w:marTop w:val="0"/>
          <w:marBottom w:val="0"/>
          <w:divBdr>
            <w:top w:val="none" w:sz="0" w:space="0" w:color="auto"/>
            <w:left w:val="none" w:sz="0" w:space="0" w:color="auto"/>
            <w:bottom w:val="none" w:sz="0" w:space="0" w:color="auto"/>
            <w:right w:val="none" w:sz="0" w:space="0" w:color="auto"/>
          </w:divBdr>
        </w:div>
      </w:divsChild>
    </w:div>
    <w:div w:id="184609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cbi.nlm.nih.gov/pubmed?term=Pennick%20KE%5BAuthor%5D&amp;cauthor=true&amp;cauthor_uid=22379048" TargetMode="External"/><Relationship Id="rId18" Type="http://schemas.openxmlformats.org/officeDocument/2006/relationships/hyperlink" Target="http://www.ncbi.nlm.nih.gov/pubmed?term=Wise%20AG%5BAuthor%5D&amp;cauthor=true&amp;cauthor_uid=22379048" TargetMode="External"/><Relationship Id="rId3" Type="http://schemas.openxmlformats.org/officeDocument/2006/relationships/numbering" Target="numbering.xml"/><Relationship Id="rId21" Type="http://schemas.openxmlformats.org/officeDocument/2006/relationships/hyperlink" Target="http://www.oie.int/en/scientific-expertise/reference-laboratories/list-of-laboratories/"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ncbi.nlm.nih.gov/pubmed?term=Maes%20RK%5BAuthor%5D&amp;cauthor=true&amp;cauthor_uid=2237904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ncbi.nlm.nih.gov/pubmed?term=Latimer%20KS%5BAuthor%5D&amp;cauthor=true&amp;cauthor_uid=22379048" TargetMode="External"/><Relationship Id="rId20" Type="http://schemas.openxmlformats.org/officeDocument/2006/relationships/hyperlink" Target="http://www.cdc.gov/biosafety/publications/bmbl5/index.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ncbi.nlm.nih.gov/pubmed?term=Patterson%20JS%5BAuthor%5D&amp;cauthor=true&amp;cauthor_uid=22379048" TargetMode="Externa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www.ncbi.nlm.nih.gov/pubmed?term=Kiupel%20M%5BAuthor%5D&amp;cauthor=true&amp;cauthor_uid=22379048"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ncbi.nlm.nih.gov/pubmed?term=McKnight%20CA%5BAuthor%5D&amp;cauthor=true&amp;cauthor_uid=22379048" TargetMode="External"/><Relationship Id="rId22" Type="http://schemas.openxmlformats.org/officeDocument/2006/relationships/hyperlink" Target="http://www.oie.int" TargetMode="External"/><Relationship Id="rId30"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www.oie.int/en/animal-health-in-the-world/the-world-animal-health-information-system/the-world-animal-health-information-syste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15579-CDA2-4168-A3E3-CE529A9E0658}">
  <ds:schemaRefs>
    <ds:schemaRef ds:uri="http://schemas.openxmlformats.org/officeDocument/2006/bibliography"/>
  </ds:schemaRefs>
</ds:datastoreItem>
</file>

<file path=customXml/itemProps2.xml><?xml version="1.0" encoding="utf-8"?>
<ds:datastoreItem xmlns:ds="http://schemas.openxmlformats.org/officeDocument/2006/customXml" ds:itemID="{61C8C76D-F411-43FD-9821-6A984576A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MANUAL96.DOT</Template>
  <TotalTime>5</TotalTime>
  <Pages>18</Pages>
  <Words>10338</Words>
  <Characters>58932</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fmd with viaa test incl.</vt:lpstr>
      <vt:lpstr>fmd with viaa test incl.</vt:lpstr>
    </vt:vector>
  </TitlesOfParts>
  <Company>USDA APHIS</Company>
  <LinksUpToDate>false</LinksUpToDate>
  <CharactersWithSpaces>69132</CharactersWithSpaces>
  <SharedDoc>false</SharedDoc>
  <HLinks>
    <vt:vector size="6" baseType="variant">
      <vt:variant>
        <vt:i4>3932281</vt:i4>
      </vt:variant>
      <vt:variant>
        <vt:i4>0</vt:i4>
      </vt:variant>
      <vt:variant>
        <vt:i4>0</vt:i4>
      </vt:variant>
      <vt:variant>
        <vt:i4>5</vt:i4>
      </vt:variant>
      <vt:variant>
        <vt:lpwstr>http://www.oie.int/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6</cp:revision>
  <cp:lastPrinted>2019-06-06T12:29:00Z</cp:lastPrinted>
  <dcterms:created xsi:type="dcterms:W3CDTF">2020-09-23T13:39:00Z</dcterms:created>
  <dcterms:modified xsi:type="dcterms:W3CDTF">2020-10-09T09:33:00Z</dcterms:modified>
</cp:coreProperties>
</file>